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7D" w:rsidRDefault="003E607D">
      <w:pPr>
        <w:widowControl w:val="0"/>
        <w:pBdr>
          <w:top w:val="nil"/>
          <w:left w:val="nil"/>
          <w:bottom w:val="nil"/>
          <w:right w:val="nil"/>
          <w:between w:val="nil"/>
        </w:pBdr>
        <w:spacing w:line="276" w:lineRule="auto"/>
        <w:rPr>
          <w:color w:val="000000"/>
        </w:rPr>
      </w:pPr>
      <w:bookmarkStart w:id="0" w:name="_GoBack"/>
      <w:bookmarkEnd w:id="0"/>
    </w:p>
    <w:tbl>
      <w:tblPr>
        <w:tblStyle w:val="a7"/>
        <w:tblW w:w="10184" w:type="dxa"/>
        <w:tblInd w:w="-176" w:type="dxa"/>
        <w:tblLayout w:type="fixed"/>
        <w:tblLook w:val="0000" w:firstRow="0" w:lastRow="0" w:firstColumn="0" w:lastColumn="0" w:noHBand="0" w:noVBand="0"/>
      </w:tblPr>
      <w:tblGrid>
        <w:gridCol w:w="4394"/>
        <w:gridCol w:w="5790"/>
      </w:tblGrid>
      <w:tr w:rsidR="003E607D">
        <w:tc>
          <w:tcPr>
            <w:tcW w:w="4394" w:type="dxa"/>
          </w:tcPr>
          <w:p w:rsidR="003E607D" w:rsidRDefault="003E607D">
            <w:pPr>
              <w:rPr>
                <w:b/>
                <w:sz w:val="28"/>
                <w:szCs w:val="28"/>
              </w:rPr>
            </w:pPr>
          </w:p>
          <w:p w:rsidR="003E607D" w:rsidRDefault="00E355C4">
            <w:pPr>
              <w:rPr>
                <w:b/>
                <w:sz w:val="20"/>
                <w:szCs w:val="20"/>
              </w:rPr>
            </w:pPr>
            <w:r>
              <w:rPr>
                <w:b/>
                <w:noProof/>
                <w:sz w:val="28"/>
                <w:szCs w:val="28"/>
                <w:lang w:val="nl-BE" w:eastAsia="nl-BE"/>
              </w:rPr>
              <w:drawing>
                <wp:inline distT="0" distB="0" distL="0" distR="0">
                  <wp:extent cx="1686122" cy="540000"/>
                  <wp:effectExtent l="0" t="0" r="0" b="0"/>
                  <wp:docPr id="9" name="image1.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preferRelativeResize="0"/>
                        </pic:nvPicPr>
                        <pic:blipFill>
                          <a:blip r:embed="rId8"/>
                          <a:srcRect/>
                          <a:stretch>
                            <a:fillRect/>
                          </a:stretch>
                        </pic:blipFill>
                        <pic:spPr>
                          <a:xfrm>
                            <a:off x="0" y="0"/>
                            <a:ext cx="1686122" cy="540000"/>
                          </a:xfrm>
                          <a:prstGeom prst="rect">
                            <a:avLst/>
                          </a:prstGeom>
                          <a:ln/>
                        </pic:spPr>
                      </pic:pic>
                    </a:graphicData>
                  </a:graphic>
                </wp:inline>
              </w:drawing>
            </w:r>
          </w:p>
          <w:p w:rsidR="003E607D" w:rsidRDefault="003E607D">
            <w:pPr>
              <w:jc w:val="center"/>
              <w:rPr>
                <w:sz w:val="20"/>
                <w:szCs w:val="20"/>
              </w:rPr>
            </w:pPr>
          </w:p>
          <w:p w:rsidR="003E607D" w:rsidRDefault="003E607D">
            <w:pPr>
              <w:jc w:val="center"/>
              <w:rPr>
                <w:b/>
                <w:color w:val="FF0000"/>
                <w:sz w:val="24"/>
                <w:szCs w:val="24"/>
                <w:u w:val="single"/>
              </w:rPr>
            </w:pPr>
          </w:p>
          <w:p w:rsidR="003E607D" w:rsidRDefault="003E607D">
            <w:pPr>
              <w:rPr>
                <w:b/>
                <w:sz w:val="24"/>
                <w:szCs w:val="24"/>
              </w:rPr>
            </w:pPr>
          </w:p>
        </w:tc>
        <w:tc>
          <w:tcPr>
            <w:tcW w:w="5790" w:type="dxa"/>
          </w:tcPr>
          <w:p w:rsidR="003E607D" w:rsidRDefault="00E355C4">
            <w:pPr>
              <w:jc w:val="right"/>
              <w:rPr>
                <w:b/>
                <w:sz w:val="20"/>
                <w:szCs w:val="20"/>
              </w:rPr>
            </w:pPr>
            <w:r>
              <w:rPr>
                <w:b/>
                <w:noProof/>
                <w:color w:val="002060"/>
                <w:lang w:val="nl-BE" w:eastAsia="nl-BE"/>
              </w:rPr>
              <w:drawing>
                <wp:inline distT="0" distB="0" distL="0" distR="0">
                  <wp:extent cx="818526" cy="129600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t="4149" b="4149"/>
                          <a:stretch>
                            <a:fillRect/>
                          </a:stretch>
                        </pic:blipFill>
                        <pic:spPr>
                          <a:xfrm>
                            <a:off x="0" y="0"/>
                            <a:ext cx="818526" cy="1296000"/>
                          </a:xfrm>
                          <a:prstGeom prst="rect">
                            <a:avLst/>
                          </a:prstGeom>
                          <a:ln/>
                        </pic:spPr>
                      </pic:pic>
                    </a:graphicData>
                  </a:graphic>
                </wp:inline>
              </w:drawing>
            </w:r>
          </w:p>
        </w:tc>
      </w:tr>
    </w:tbl>
    <w:p w:rsidR="003E607D" w:rsidRDefault="00E355C4">
      <w:pPr>
        <w:jc w:val="center"/>
        <w:rPr>
          <w:b/>
          <w:sz w:val="24"/>
          <w:szCs w:val="24"/>
        </w:rPr>
      </w:pPr>
      <w:r>
        <w:rPr>
          <w:b/>
          <w:sz w:val="24"/>
          <w:szCs w:val="24"/>
        </w:rPr>
        <w:t>COMMUNIQUE DE PRESSE</w:t>
      </w:r>
    </w:p>
    <w:p w:rsidR="00547EB4" w:rsidRDefault="00547EB4">
      <w:pPr>
        <w:spacing w:after="120"/>
        <w:jc w:val="center"/>
        <w:rPr>
          <w:b/>
          <w:sz w:val="24"/>
          <w:szCs w:val="24"/>
        </w:rPr>
      </w:pPr>
      <w:bookmarkStart w:id="1" w:name="_heading=h.gjdgxs" w:colFirst="0" w:colLast="0"/>
      <w:bookmarkEnd w:id="1"/>
    </w:p>
    <w:p w:rsidR="003E607D" w:rsidRDefault="00E355C4">
      <w:pPr>
        <w:spacing w:after="120"/>
        <w:jc w:val="center"/>
        <w:rPr>
          <w:b/>
          <w:color w:val="000000"/>
          <w:sz w:val="24"/>
          <w:szCs w:val="24"/>
        </w:rPr>
      </w:pPr>
      <w:r>
        <w:rPr>
          <w:b/>
          <w:sz w:val="24"/>
          <w:szCs w:val="24"/>
        </w:rPr>
        <w:t>Le portique et la gloriette de Rubens à Anvers (Belgique) parmi les lauréats des</w:t>
      </w:r>
      <w:r w:rsidR="00547EB4">
        <w:rPr>
          <w:b/>
          <w:sz w:val="24"/>
          <w:szCs w:val="24"/>
        </w:rPr>
        <w:br/>
      </w:r>
      <w:r>
        <w:rPr>
          <w:b/>
          <w:sz w:val="24"/>
          <w:szCs w:val="24"/>
        </w:rPr>
        <w:t xml:space="preserve">Prix européens du patrimoine / Prix Europa </w:t>
      </w:r>
      <w:proofErr w:type="spellStart"/>
      <w:r>
        <w:rPr>
          <w:b/>
          <w:sz w:val="24"/>
          <w:szCs w:val="24"/>
        </w:rPr>
        <w:t>N</w:t>
      </w:r>
      <w:r>
        <w:rPr>
          <w:b/>
          <w:color w:val="000000"/>
          <w:sz w:val="24"/>
          <w:szCs w:val="24"/>
        </w:rPr>
        <w:t>ostra</w:t>
      </w:r>
      <w:proofErr w:type="spellEnd"/>
      <w:r>
        <w:rPr>
          <w:b/>
          <w:color w:val="000000"/>
          <w:sz w:val="24"/>
          <w:szCs w:val="24"/>
        </w:rPr>
        <w:t xml:space="preserve"> 2020</w:t>
      </w:r>
    </w:p>
    <w:p w:rsidR="003E607D" w:rsidRDefault="003E607D">
      <w:pPr>
        <w:pBdr>
          <w:top w:val="nil"/>
          <w:left w:val="nil"/>
          <w:bottom w:val="nil"/>
          <w:right w:val="nil"/>
          <w:between w:val="nil"/>
        </w:pBdr>
        <w:jc w:val="both"/>
        <w:rPr>
          <w:color w:val="000000"/>
          <w:sz w:val="20"/>
          <w:szCs w:val="20"/>
        </w:rPr>
      </w:pPr>
    </w:p>
    <w:p w:rsidR="003E607D" w:rsidRDefault="00E355C4">
      <w:pPr>
        <w:pBdr>
          <w:top w:val="nil"/>
          <w:left w:val="nil"/>
          <w:bottom w:val="nil"/>
          <w:right w:val="nil"/>
          <w:between w:val="nil"/>
        </w:pBdr>
        <w:jc w:val="both"/>
        <w:rPr>
          <w:color w:val="000000"/>
          <w:sz w:val="20"/>
          <w:szCs w:val="20"/>
        </w:rPr>
      </w:pPr>
      <w:r>
        <w:rPr>
          <w:color w:val="000000"/>
          <w:sz w:val="20"/>
          <w:szCs w:val="20"/>
        </w:rPr>
        <w:t>Bruxelles / La Haye, 7 mai 2020</w:t>
      </w:r>
    </w:p>
    <w:p w:rsidR="003E607D" w:rsidRDefault="003E607D">
      <w:pPr>
        <w:jc w:val="both"/>
        <w:rPr>
          <w:sz w:val="20"/>
          <w:szCs w:val="20"/>
          <w:highlight w:val="white"/>
        </w:rPr>
      </w:pPr>
    </w:p>
    <w:p w:rsidR="003E607D" w:rsidRDefault="00E355C4">
      <w:pPr>
        <w:jc w:val="both"/>
        <w:rPr>
          <w:sz w:val="20"/>
          <w:szCs w:val="20"/>
          <w:highlight w:val="white"/>
        </w:rPr>
      </w:pPr>
      <w:r>
        <w:rPr>
          <w:sz w:val="20"/>
          <w:szCs w:val="20"/>
        </w:rPr>
        <w:t xml:space="preserve">À l'approche des célébrations de la Journée de l'Europe de cette année (9 mai), la Commission européenne et Europa </w:t>
      </w:r>
      <w:proofErr w:type="spellStart"/>
      <w:r>
        <w:rPr>
          <w:sz w:val="20"/>
          <w:szCs w:val="20"/>
        </w:rPr>
        <w:t>Nostra</w:t>
      </w:r>
      <w:proofErr w:type="spellEnd"/>
      <w:r>
        <w:rPr>
          <w:sz w:val="20"/>
          <w:szCs w:val="20"/>
        </w:rPr>
        <w:t xml:space="preserve"> sont fières d'annoncer les lauréats 2020 des </w:t>
      </w:r>
      <w:r>
        <w:rPr>
          <w:b/>
          <w:sz w:val="20"/>
          <w:szCs w:val="20"/>
        </w:rPr>
        <w:t xml:space="preserve">Prix européens du patrimoine / Prix Europa </w:t>
      </w:r>
      <w:proofErr w:type="spellStart"/>
      <w:r>
        <w:rPr>
          <w:b/>
          <w:sz w:val="20"/>
          <w:szCs w:val="20"/>
        </w:rPr>
        <w:t>Nostra</w:t>
      </w:r>
      <w:proofErr w:type="spellEnd"/>
      <w:r>
        <w:rPr>
          <w:sz w:val="20"/>
          <w:szCs w:val="20"/>
        </w:rPr>
        <w:t xml:space="preserve">. La plus haute distinction européenne dans le domaine du patrimoine est décernée à 21 réalisations exemplaires issues de 15 pays européens </w:t>
      </w:r>
      <w:r w:rsidRPr="00547EB4">
        <w:rPr>
          <w:i/>
          <w:sz w:val="20"/>
          <w:szCs w:val="20"/>
        </w:rPr>
        <w:t>(pour plus d'informations, voir la liste complète des lauréats ci-dessous)</w:t>
      </w:r>
      <w:r>
        <w:rPr>
          <w:sz w:val="20"/>
          <w:szCs w:val="20"/>
        </w:rPr>
        <w:t>.</w:t>
      </w:r>
      <w:r>
        <w:rPr>
          <w:b/>
          <w:sz w:val="20"/>
          <w:szCs w:val="20"/>
        </w:rPr>
        <w:t xml:space="preserve"> Parmi les lauréats de cette année figurent dans la catégorie "Conservation" le portique et la gloriette de Rubens à Anvers (Belgique).</w:t>
      </w:r>
    </w:p>
    <w:p w:rsidR="003E607D" w:rsidRDefault="003E607D">
      <w:pPr>
        <w:pBdr>
          <w:top w:val="nil"/>
          <w:left w:val="nil"/>
          <w:bottom w:val="nil"/>
          <w:right w:val="nil"/>
          <w:between w:val="nil"/>
        </w:pBdr>
        <w:jc w:val="both"/>
        <w:rPr>
          <w:b/>
          <w:color w:val="000000"/>
          <w:sz w:val="20"/>
          <w:szCs w:val="20"/>
        </w:rPr>
      </w:pPr>
    </w:p>
    <w:p w:rsidR="003E607D" w:rsidRDefault="00E355C4">
      <w:pPr>
        <w:pBdr>
          <w:top w:val="nil"/>
          <w:left w:val="nil"/>
          <w:bottom w:val="nil"/>
          <w:right w:val="nil"/>
          <w:between w:val="nil"/>
        </w:pBdr>
        <w:jc w:val="both"/>
        <w:rPr>
          <w:b/>
          <w:color w:val="000000"/>
          <w:sz w:val="20"/>
          <w:szCs w:val="20"/>
        </w:rPr>
      </w:pPr>
      <w:r>
        <w:rPr>
          <w:color w:val="000000"/>
          <w:sz w:val="20"/>
          <w:szCs w:val="20"/>
        </w:rPr>
        <w:t xml:space="preserve">Les amoureux et les partisans du patrimoine à travers l’Europe et le monde entier peuvent </w:t>
      </w:r>
      <w:hyperlink r:id="rId10">
        <w:r>
          <w:rPr>
            <w:b/>
            <w:color w:val="0000FF"/>
            <w:sz w:val="20"/>
            <w:szCs w:val="20"/>
            <w:u w:val="single"/>
          </w:rPr>
          <w:t>voter en ligne</w:t>
        </w:r>
      </w:hyperlink>
      <w:r>
        <w:rPr>
          <w:color w:val="000000"/>
          <w:sz w:val="20"/>
          <w:szCs w:val="20"/>
        </w:rPr>
        <w:t xml:space="preserve"> pour leurs lauréats préférés et décider quelle réalisation remportera le </w:t>
      </w:r>
      <w:r>
        <w:rPr>
          <w:b/>
          <w:color w:val="000000"/>
          <w:sz w:val="20"/>
          <w:szCs w:val="20"/>
        </w:rPr>
        <w:t>Prix du public</w:t>
      </w:r>
      <w:r>
        <w:rPr>
          <w:color w:val="000000"/>
          <w:sz w:val="20"/>
          <w:szCs w:val="20"/>
        </w:rPr>
        <w:t xml:space="preserve"> de cette année. En ces temps de confinement et d'éloignement physique, la Commission européenne et Europa </w:t>
      </w:r>
      <w:proofErr w:type="spellStart"/>
      <w:r>
        <w:rPr>
          <w:color w:val="000000"/>
          <w:sz w:val="20"/>
          <w:szCs w:val="20"/>
        </w:rPr>
        <w:t>Nostra</w:t>
      </w:r>
      <w:proofErr w:type="spellEnd"/>
      <w:r>
        <w:rPr>
          <w:color w:val="000000"/>
          <w:sz w:val="20"/>
          <w:szCs w:val="20"/>
        </w:rPr>
        <w:t xml:space="preserve"> espèrent inciter un nombre particulièrement important de personnes à découvrir les réalisations primées cette année et à partager les noms de leurs trois lauréats préférés. </w:t>
      </w:r>
      <w:r>
        <w:rPr>
          <w:b/>
          <w:color w:val="000000"/>
          <w:sz w:val="20"/>
          <w:szCs w:val="20"/>
        </w:rPr>
        <w:t>Le lauréat du Prix du public sera annoncé après la période estivale. Les lauréats des Grand Prix, qui ont droit à une récompense monétaire de 10 000 euros chacun, seront également rendus publics à cette occasion.</w:t>
      </w:r>
    </w:p>
    <w:p w:rsidR="003E607D" w:rsidRDefault="003E607D">
      <w:pPr>
        <w:pBdr>
          <w:top w:val="nil"/>
          <w:left w:val="nil"/>
          <w:bottom w:val="nil"/>
          <w:right w:val="nil"/>
          <w:between w:val="nil"/>
        </w:pBdr>
        <w:jc w:val="both"/>
        <w:rPr>
          <w:color w:val="000000"/>
          <w:sz w:val="20"/>
          <w:szCs w:val="20"/>
        </w:rPr>
      </w:pPr>
    </w:p>
    <w:p w:rsidR="003E607D" w:rsidRDefault="00E355C4">
      <w:pPr>
        <w:pBdr>
          <w:top w:val="nil"/>
          <w:left w:val="nil"/>
          <w:bottom w:val="nil"/>
          <w:right w:val="nil"/>
          <w:between w:val="nil"/>
        </w:pBdr>
        <w:jc w:val="both"/>
        <w:rPr>
          <w:color w:val="000000"/>
          <w:sz w:val="20"/>
          <w:szCs w:val="20"/>
        </w:rPr>
      </w:pPr>
      <w:r>
        <w:rPr>
          <w:color w:val="000000"/>
          <w:sz w:val="20"/>
          <w:szCs w:val="20"/>
        </w:rPr>
        <w:t xml:space="preserve">« La crise COVID-19 a mis en lumière à quel point la culture et le patrimoine culturel sont nécessaires aux personnes et aux communautés de toute l'Europe. Au moment où des centaines de millions d'européens restent physiquement séparés, notre patrimoine culturel continue, plus que jamais, à rassembler les gens. Les lauréats des Prix européens du patrimoine / Prix Europa </w:t>
      </w:r>
      <w:proofErr w:type="spellStart"/>
      <w:r>
        <w:rPr>
          <w:color w:val="000000"/>
          <w:sz w:val="20"/>
          <w:szCs w:val="20"/>
        </w:rPr>
        <w:t>Nostra</w:t>
      </w:r>
      <w:proofErr w:type="spellEnd"/>
      <w:r>
        <w:rPr>
          <w:color w:val="000000"/>
          <w:sz w:val="20"/>
          <w:szCs w:val="20"/>
        </w:rPr>
        <w:t xml:space="preserve"> de cette année sont des exemples inspirants et puissants qui contribuent véritablement à une Europe plus proche, plus unie et plus résistante », a déclaré </w:t>
      </w:r>
      <w:proofErr w:type="spellStart"/>
      <w:r>
        <w:rPr>
          <w:b/>
          <w:color w:val="000000"/>
          <w:sz w:val="20"/>
          <w:szCs w:val="20"/>
        </w:rPr>
        <w:t>Mariya</w:t>
      </w:r>
      <w:proofErr w:type="spellEnd"/>
      <w:r>
        <w:rPr>
          <w:b/>
          <w:color w:val="000000"/>
          <w:sz w:val="20"/>
          <w:szCs w:val="20"/>
        </w:rPr>
        <w:t xml:space="preserve"> Gabriel</w:t>
      </w:r>
      <w:r>
        <w:rPr>
          <w:color w:val="000000"/>
          <w:sz w:val="20"/>
          <w:szCs w:val="20"/>
        </w:rPr>
        <w:t>, Commissaire européenne à l'Innovation, à la Recherche, à la Culture, à l'Education et à la Jeunesse.</w:t>
      </w:r>
    </w:p>
    <w:p w:rsidR="003E607D" w:rsidRDefault="003E607D">
      <w:pPr>
        <w:jc w:val="both"/>
        <w:rPr>
          <w:color w:val="000000"/>
          <w:sz w:val="20"/>
          <w:szCs w:val="20"/>
        </w:rPr>
      </w:pPr>
    </w:p>
    <w:p w:rsidR="003E607D" w:rsidRDefault="00E355C4">
      <w:pPr>
        <w:jc w:val="both"/>
        <w:rPr>
          <w:color w:val="000000"/>
          <w:sz w:val="20"/>
          <w:szCs w:val="20"/>
        </w:rPr>
      </w:pPr>
      <w:r>
        <w:rPr>
          <w:color w:val="000000"/>
          <w:sz w:val="20"/>
          <w:szCs w:val="20"/>
        </w:rPr>
        <w:t xml:space="preserve">« En ces temps troublés, nos lauréats sont de véritables messagers d'espoir. Leurs victoires illustrent à quel point l'adversité peut être surmontée grâce à l'expertise, au dévouement et au travail d'équipe. Ces projets exemplaires mis à l’honneur démontrent que le patrimoine culturel est vital pour notre rétablissement mental et physique après le traumatisme causé par la pandémie. Notre patrimoine commun et ses gardiens peuvent y contribuer de multiples façons : de la mise à disposition de contenus culturels par le biais de solutions numériques créatives à la réalisation de travaux concrets de restauration et de réhabilitation en tant qu'acte de renaissance sociale et économique pour nos villes et villages », a déclaré </w:t>
      </w:r>
      <w:r>
        <w:rPr>
          <w:b/>
          <w:color w:val="000000"/>
          <w:sz w:val="20"/>
          <w:szCs w:val="20"/>
        </w:rPr>
        <w:t xml:space="preserve">Hermann </w:t>
      </w:r>
      <w:proofErr w:type="spellStart"/>
      <w:r>
        <w:rPr>
          <w:b/>
          <w:color w:val="000000"/>
          <w:sz w:val="20"/>
          <w:szCs w:val="20"/>
        </w:rPr>
        <w:t>Parzinger</w:t>
      </w:r>
      <w:proofErr w:type="spellEnd"/>
      <w:r>
        <w:rPr>
          <w:color w:val="000000"/>
          <w:sz w:val="20"/>
          <w:szCs w:val="20"/>
        </w:rPr>
        <w:t xml:space="preserve">, Président exécutif d'Europa </w:t>
      </w:r>
      <w:proofErr w:type="spellStart"/>
      <w:r>
        <w:rPr>
          <w:color w:val="000000"/>
          <w:sz w:val="20"/>
          <w:szCs w:val="20"/>
        </w:rPr>
        <w:t>Nostra</w:t>
      </w:r>
      <w:proofErr w:type="spellEnd"/>
      <w:r>
        <w:rPr>
          <w:color w:val="000000"/>
          <w:sz w:val="20"/>
          <w:szCs w:val="20"/>
        </w:rPr>
        <w:t>.</w:t>
      </w:r>
    </w:p>
    <w:p w:rsidR="003E607D" w:rsidRDefault="003E607D">
      <w:pPr>
        <w:pBdr>
          <w:top w:val="nil"/>
          <w:left w:val="nil"/>
          <w:bottom w:val="nil"/>
          <w:right w:val="nil"/>
          <w:between w:val="nil"/>
        </w:pBdr>
        <w:jc w:val="both"/>
        <w:rPr>
          <w:color w:val="000000"/>
          <w:sz w:val="20"/>
          <w:szCs w:val="20"/>
        </w:rPr>
      </w:pPr>
    </w:p>
    <w:p w:rsidR="003E607D" w:rsidRDefault="00E355C4">
      <w:pPr>
        <w:pBdr>
          <w:top w:val="nil"/>
          <w:left w:val="nil"/>
          <w:bottom w:val="nil"/>
          <w:right w:val="nil"/>
          <w:between w:val="nil"/>
        </w:pBdr>
        <w:jc w:val="both"/>
        <w:rPr>
          <w:color w:val="000000"/>
          <w:sz w:val="20"/>
          <w:szCs w:val="20"/>
        </w:rPr>
      </w:pPr>
      <w:r>
        <w:rPr>
          <w:color w:val="000000"/>
          <w:sz w:val="20"/>
          <w:szCs w:val="20"/>
        </w:rPr>
        <w:t xml:space="preserve">Les Prix européens du patrimoine / Prix Europa </w:t>
      </w:r>
      <w:proofErr w:type="spellStart"/>
      <w:r>
        <w:rPr>
          <w:color w:val="000000"/>
          <w:sz w:val="20"/>
          <w:szCs w:val="20"/>
        </w:rPr>
        <w:t>Nostra</w:t>
      </w:r>
      <w:proofErr w:type="spellEnd"/>
      <w:r>
        <w:rPr>
          <w:color w:val="000000"/>
          <w:sz w:val="20"/>
          <w:szCs w:val="20"/>
        </w:rPr>
        <w:t xml:space="preserve"> ont été lancés par la Commission européenne en 2002 et sont depuis gérés par Europa </w:t>
      </w:r>
      <w:proofErr w:type="spellStart"/>
      <w:r>
        <w:rPr>
          <w:color w:val="000000"/>
          <w:sz w:val="20"/>
          <w:szCs w:val="20"/>
        </w:rPr>
        <w:t>Nostra</w:t>
      </w:r>
      <w:proofErr w:type="spellEnd"/>
      <w:r>
        <w:rPr>
          <w:color w:val="000000"/>
          <w:sz w:val="20"/>
          <w:szCs w:val="20"/>
        </w:rPr>
        <w:t xml:space="preserve"> – la Voix européenne de la société civile engagée en faveur du patrimoine culturel. Les Prix reçoivent le soutien du programme Europe Créative de l’Union européenne. </w:t>
      </w:r>
    </w:p>
    <w:p w:rsidR="003E607D" w:rsidRDefault="003E607D">
      <w:pPr>
        <w:pBdr>
          <w:top w:val="nil"/>
          <w:left w:val="nil"/>
          <w:bottom w:val="nil"/>
          <w:right w:val="nil"/>
          <w:between w:val="nil"/>
        </w:pBdr>
        <w:jc w:val="both"/>
        <w:rPr>
          <w:color w:val="000000"/>
          <w:sz w:val="20"/>
          <w:szCs w:val="20"/>
        </w:rPr>
      </w:pPr>
    </w:p>
    <w:p w:rsidR="003E607D" w:rsidRDefault="00E355C4">
      <w:pPr>
        <w:pBdr>
          <w:top w:val="nil"/>
          <w:left w:val="nil"/>
          <w:bottom w:val="nil"/>
          <w:right w:val="nil"/>
          <w:between w:val="nil"/>
        </w:pBdr>
        <w:jc w:val="both"/>
        <w:rPr>
          <w:color w:val="000000"/>
          <w:sz w:val="20"/>
          <w:szCs w:val="20"/>
        </w:rPr>
      </w:pPr>
      <w:r>
        <w:rPr>
          <w:color w:val="000000"/>
          <w:sz w:val="20"/>
          <w:szCs w:val="20"/>
        </w:rPr>
        <w:t xml:space="preserve">Les lauréats des Prix ont été sélectionnés par des </w:t>
      </w:r>
      <w:hyperlink r:id="rId11">
        <w:r>
          <w:rPr>
            <w:b/>
            <w:color w:val="0000FF"/>
            <w:sz w:val="20"/>
            <w:szCs w:val="20"/>
            <w:u w:val="single"/>
          </w:rPr>
          <w:t>jurys</w:t>
        </w:r>
      </w:hyperlink>
      <w:r>
        <w:rPr>
          <w:color w:val="000000"/>
          <w:sz w:val="20"/>
          <w:szCs w:val="20"/>
        </w:rPr>
        <w:t xml:space="preserve"> indépendants composés d'experts du patrimoine de toute l'Europe, après avoir mené une évaluation approfondie des candidatures soumises par des organisations et des personnes issues de 30 pays européens. Les jurys ont également décidé de décerner trois </w:t>
      </w:r>
      <w:r>
        <w:rPr>
          <w:b/>
          <w:color w:val="000000"/>
          <w:sz w:val="20"/>
          <w:szCs w:val="20"/>
        </w:rPr>
        <w:t xml:space="preserve">Prix Europa </w:t>
      </w:r>
      <w:proofErr w:type="spellStart"/>
      <w:r>
        <w:rPr>
          <w:b/>
          <w:color w:val="000000"/>
          <w:sz w:val="20"/>
          <w:szCs w:val="20"/>
        </w:rPr>
        <w:t>Nostra</w:t>
      </w:r>
      <w:proofErr w:type="spellEnd"/>
      <w:r>
        <w:rPr>
          <w:color w:val="000000"/>
          <w:sz w:val="20"/>
          <w:szCs w:val="20"/>
        </w:rPr>
        <w:t xml:space="preserve"> à des réalisations patrimoniales remarquables provenant de pays européens ne participant pas au programme Europe Créative de l’UE, à savoir la Suisse et la Turquie.</w:t>
      </w:r>
    </w:p>
    <w:p w:rsidR="003E607D" w:rsidRDefault="003E607D">
      <w:pPr>
        <w:pBdr>
          <w:top w:val="nil"/>
          <w:left w:val="nil"/>
          <w:bottom w:val="nil"/>
          <w:right w:val="nil"/>
          <w:between w:val="nil"/>
        </w:pBdr>
        <w:jc w:val="both"/>
        <w:rPr>
          <w:color w:val="000000"/>
          <w:sz w:val="20"/>
          <w:szCs w:val="20"/>
        </w:rPr>
      </w:pPr>
    </w:p>
    <w:p w:rsidR="003E607D" w:rsidRDefault="00E355C4">
      <w:pPr>
        <w:jc w:val="both"/>
        <w:rPr>
          <w:color w:val="000000"/>
          <w:sz w:val="20"/>
          <w:szCs w:val="20"/>
        </w:rPr>
      </w:pPr>
      <w:r>
        <w:rPr>
          <w:color w:val="000000"/>
          <w:sz w:val="20"/>
          <w:szCs w:val="20"/>
        </w:rPr>
        <w:t xml:space="preserve">En 2020, deux nouveaux Prix spéciaux « ILUCIDARE » seront également décernés parmi les candidatures soumises aux Prix européens du patrimoine / Prix Europa </w:t>
      </w:r>
      <w:proofErr w:type="spellStart"/>
      <w:r>
        <w:rPr>
          <w:color w:val="000000"/>
          <w:sz w:val="20"/>
          <w:szCs w:val="20"/>
        </w:rPr>
        <w:t>Nostra</w:t>
      </w:r>
      <w:proofErr w:type="spellEnd"/>
      <w:r>
        <w:rPr>
          <w:color w:val="000000"/>
          <w:sz w:val="20"/>
          <w:szCs w:val="20"/>
        </w:rPr>
        <w:t>. Les Prix spéciaux « ILUCIDARE » seront annoncés le 28 mai. ILUCIDARE est un projet financé par Horizon 2020 qui vise à établir un réseau international en faveur de la promotion du patrimoine en tant que ressource pour l'innovation et les relations internationales.</w:t>
      </w:r>
    </w:p>
    <w:p w:rsidR="003E607D" w:rsidRDefault="003E607D">
      <w:pPr>
        <w:jc w:val="both"/>
        <w:rPr>
          <w:color w:val="000000"/>
          <w:sz w:val="20"/>
          <w:szCs w:val="20"/>
        </w:rPr>
      </w:pPr>
    </w:p>
    <w:p w:rsidR="003E607D" w:rsidRDefault="003E607D">
      <w:pPr>
        <w:spacing w:line="276" w:lineRule="auto"/>
        <w:jc w:val="both"/>
        <w:rPr>
          <w:sz w:val="20"/>
          <w:szCs w:val="20"/>
        </w:rPr>
      </w:pPr>
    </w:p>
    <w:p w:rsidR="003E607D" w:rsidRDefault="003E607D">
      <w:pPr>
        <w:spacing w:line="276" w:lineRule="auto"/>
        <w:jc w:val="both"/>
        <w:rPr>
          <w:sz w:val="20"/>
          <w:szCs w:val="20"/>
        </w:rPr>
      </w:pPr>
    </w:p>
    <w:p w:rsidR="003E607D" w:rsidRDefault="003E607D">
      <w:pPr>
        <w:spacing w:line="276" w:lineRule="auto"/>
        <w:jc w:val="both"/>
        <w:rPr>
          <w:sz w:val="20"/>
          <w:szCs w:val="20"/>
        </w:rPr>
      </w:pPr>
    </w:p>
    <w:p w:rsidR="003E607D" w:rsidRDefault="003E607D">
      <w:pPr>
        <w:spacing w:line="276" w:lineRule="auto"/>
        <w:jc w:val="both"/>
        <w:rPr>
          <w:sz w:val="20"/>
          <w:szCs w:val="20"/>
        </w:rPr>
      </w:pPr>
    </w:p>
    <w:p w:rsidR="003E607D" w:rsidRDefault="003E607D">
      <w:pPr>
        <w:pBdr>
          <w:top w:val="nil"/>
          <w:left w:val="nil"/>
          <w:bottom w:val="nil"/>
          <w:right w:val="nil"/>
          <w:between w:val="nil"/>
        </w:pBdr>
        <w:jc w:val="both"/>
        <w:rPr>
          <w:color w:val="002060"/>
          <w:sz w:val="20"/>
          <w:szCs w:val="20"/>
        </w:rPr>
      </w:pPr>
    </w:p>
    <w:tbl>
      <w:tblPr>
        <w:tblStyle w:val="a8"/>
        <w:tblW w:w="10513" w:type="dxa"/>
        <w:tblInd w:w="108" w:type="dxa"/>
        <w:tblLayout w:type="fixed"/>
        <w:tblLook w:val="0000" w:firstRow="0" w:lastRow="0" w:firstColumn="0" w:lastColumn="0" w:noHBand="0" w:noVBand="0"/>
      </w:tblPr>
      <w:tblGrid>
        <w:gridCol w:w="5400"/>
        <w:gridCol w:w="5113"/>
      </w:tblGrid>
      <w:tr w:rsidR="003E607D">
        <w:trPr>
          <w:trHeight w:val="74"/>
        </w:trPr>
        <w:tc>
          <w:tcPr>
            <w:tcW w:w="5400" w:type="dxa"/>
          </w:tcPr>
          <w:p w:rsidR="003E607D" w:rsidRDefault="00E355C4">
            <w:pPr>
              <w:ind w:left="-108"/>
              <w:jc w:val="both"/>
              <w:rPr>
                <w:b/>
                <w:color w:val="000000"/>
                <w:sz w:val="20"/>
                <w:szCs w:val="20"/>
              </w:rPr>
            </w:pPr>
            <w:r>
              <w:rPr>
                <w:b/>
                <w:color w:val="000000"/>
                <w:sz w:val="20"/>
                <w:szCs w:val="20"/>
              </w:rPr>
              <w:t>CONTACTS</w:t>
            </w:r>
          </w:p>
          <w:p w:rsidR="003E607D" w:rsidRDefault="003E607D">
            <w:pPr>
              <w:ind w:left="-108"/>
              <w:jc w:val="both"/>
              <w:rPr>
                <w:b/>
                <w:color w:val="000000"/>
                <w:sz w:val="20"/>
                <w:szCs w:val="20"/>
              </w:rPr>
            </w:pPr>
          </w:p>
          <w:p w:rsidR="003E607D" w:rsidRDefault="00E355C4">
            <w:pPr>
              <w:ind w:left="-108"/>
              <w:jc w:val="both"/>
              <w:rPr>
                <w:b/>
                <w:color w:val="000000"/>
                <w:sz w:val="20"/>
                <w:szCs w:val="20"/>
              </w:rPr>
            </w:pPr>
            <w:r>
              <w:rPr>
                <w:b/>
                <w:sz w:val="20"/>
                <w:szCs w:val="20"/>
              </w:rPr>
              <w:t xml:space="preserve">Europa </w:t>
            </w:r>
            <w:proofErr w:type="spellStart"/>
            <w:r>
              <w:rPr>
                <w:b/>
                <w:sz w:val="20"/>
                <w:szCs w:val="20"/>
              </w:rPr>
              <w:t>Nostra</w:t>
            </w:r>
            <w:proofErr w:type="spellEnd"/>
          </w:p>
          <w:p w:rsidR="003E607D" w:rsidRDefault="00E355C4">
            <w:pPr>
              <w:ind w:left="-108"/>
              <w:rPr>
                <w:color w:val="000000"/>
                <w:sz w:val="20"/>
                <w:szCs w:val="20"/>
              </w:rPr>
            </w:pPr>
            <w:r>
              <w:rPr>
                <w:color w:val="000000"/>
                <w:sz w:val="20"/>
                <w:szCs w:val="20"/>
              </w:rPr>
              <w:t xml:space="preserve">Audrey </w:t>
            </w:r>
            <w:proofErr w:type="spellStart"/>
            <w:r>
              <w:rPr>
                <w:color w:val="000000"/>
                <w:sz w:val="20"/>
                <w:szCs w:val="20"/>
              </w:rPr>
              <w:t>Hogan</w:t>
            </w:r>
            <w:proofErr w:type="spellEnd"/>
            <w:r>
              <w:rPr>
                <w:color w:val="000000"/>
                <w:sz w:val="20"/>
                <w:szCs w:val="20"/>
              </w:rPr>
              <w:t>, Chargée de programmes</w:t>
            </w:r>
            <w:r>
              <w:rPr>
                <w:color w:val="000000"/>
                <w:sz w:val="20"/>
                <w:szCs w:val="20"/>
              </w:rPr>
              <w:br/>
            </w:r>
            <w:hyperlink r:id="rId12">
              <w:r>
                <w:rPr>
                  <w:color w:val="000000"/>
                  <w:sz w:val="20"/>
                  <w:szCs w:val="20"/>
                </w:rPr>
                <w:t>ah@europanostra.org</w:t>
              </w:r>
            </w:hyperlink>
            <w:r>
              <w:rPr>
                <w:color w:val="000000"/>
                <w:sz w:val="20"/>
                <w:szCs w:val="20"/>
              </w:rPr>
              <w:t xml:space="preserve">, </w:t>
            </w:r>
          </w:p>
          <w:p w:rsidR="003E607D" w:rsidRDefault="00E355C4">
            <w:pPr>
              <w:ind w:left="-108"/>
              <w:jc w:val="both"/>
              <w:rPr>
                <w:smallCaps/>
                <w:sz w:val="20"/>
                <w:szCs w:val="20"/>
              </w:rPr>
            </w:pPr>
            <w:r>
              <w:rPr>
                <w:sz w:val="20"/>
                <w:szCs w:val="20"/>
              </w:rPr>
              <w:t>T. +</w:t>
            </w:r>
            <w:r>
              <w:rPr>
                <w:smallCaps/>
                <w:sz w:val="20"/>
                <w:szCs w:val="20"/>
              </w:rPr>
              <w:t xml:space="preserve">31 70 302 40 52;  M. </w:t>
            </w:r>
            <w:r>
              <w:rPr>
                <w:sz w:val="20"/>
                <w:szCs w:val="20"/>
              </w:rPr>
              <w:t>+</w:t>
            </w:r>
            <w:r>
              <w:rPr>
                <w:smallCaps/>
                <w:sz w:val="20"/>
                <w:szCs w:val="20"/>
              </w:rPr>
              <w:t xml:space="preserve">31 63 1 17 84 55 </w:t>
            </w:r>
          </w:p>
          <w:p w:rsidR="003E607D" w:rsidRDefault="00E355C4">
            <w:pPr>
              <w:ind w:left="-108"/>
              <w:rPr>
                <w:color w:val="000000"/>
                <w:sz w:val="20"/>
                <w:szCs w:val="20"/>
              </w:rPr>
            </w:pPr>
            <w:r>
              <w:rPr>
                <w:color w:val="000000"/>
                <w:sz w:val="20"/>
                <w:szCs w:val="20"/>
              </w:rPr>
              <w:t xml:space="preserve">Joana </w:t>
            </w:r>
            <w:proofErr w:type="spellStart"/>
            <w:r>
              <w:rPr>
                <w:color w:val="000000"/>
                <w:sz w:val="20"/>
                <w:szCs w:val="20"/>
              </w:rPr>
              <w:t>Pinheiro</w:t>
            </w:r>
            <w:proofErr w:type="spellEnd"/>
            <w:r>
              <w:rPr>
                <w:color w:val="000000"/>
                <w:sz w:val="20"/>
                <w:szCs w:val="20"/>
              </w:rPr>
              <w:t xml:space="preserve">, Coordinatrice des communications </w:t>
            </w:r>
          </w:p>
          <w:p w:rsidR="003E607D" w:rsidRDefault="00E355C4">
            <w:pPr>
              <w:ind w:left="-108"/>
              <w:jc w:val="both"/>
              <w:rPr>
                <w:smallCaps/>
                <w:sz w:val="20"/>
                <w:szCs w:val="20"/>
              </w:rPr>
            </w:pPr>
            <w:r>
              <w:rPr>
                <w:smallCaps/>
                <w:sz w:val="20"/>
                <w:szCs w:val="20"/>
              </w:rPr>
              <w:t xml:space="preserve">M. </w:t>
            </w:r>
            <w:r>
              <w:rPr>
                <w:sz w:val="20"/>
                <w:szCs w:val="20"/>
              </w:rPr>
              <w:t>+</w:t>
            </w:r>
            <w:r>
              <w:rPr>
                <w:smallCaps/>
                <w:sz w:val="20"/>
                <w:szCs w:val="20"/>
              </w:rPr>
              <w:t>31 6 34 36 59 85</w:t>
            </w:r>
          </w:p>
          <w:p w:rsidR="003E607D" w:rsidRDefault="00E355C4">
            <w:pPr>
              <w:ind w:left="-108"/>
              <w:jc w:val="both"/>
              <w:rPr>
                <w:b/>
                <w:sz w:val="20"/>
                <w:szCs w:val="20"/>
              </w:rPr>
            </w:pPr>
            <w:r>
              <w:rPr>
                <w:b/>
                <w:sz w:val="20"/>
                <w:szCs w:val="20"/>
              </w:rPr>
              <w:t>Commission européenne</w:t>
            </w:r>
          </w:p>
          <w:p w:rsidR="003E607D" w:rsidRDefault="00E355C4">
            <w:pPr>
              <w:ind w:left="-108"/>
              <w:jc w:val="both"/>
              <w:rPr>
                <w:sz w:val="20"/>
                <w:szCs w:val="20"/>
              </w:rPr>
            </w:pPr>
            <w:r>
              <w:rPr>
                <w:sz w:val="20"/>
                <w:szCs w:val="20"/>
              </w:rPr>
              <w:t xml:space="preserve">Susanne </w:t>
            </w:r>
            <w:proofErr w:type="spellStart"/>
            <w:r>
              <w:rPr>
                <w:sz w:val="20"/>
                <w:szCs w:val="20"/>
              </w:rPr>
              <w:t>Conze</w:t>
            </w:r>
            <w:proofErr w:type="spellEnd"/>
            <w:r>
              <w:rPr>
                <w:sz w:val="20"/>
                <w:szCs w:val="20"/>
              </w:rPr>
              <w:t>, susanne.conze@ec.europa.eu</w:t>
            </w:r>
          </w:p>
          <w:p w:rsidR="003E607D" w:rsidRDefault="00E355C4">
            <w:pPr>
              <w:ind w:left="-108"/>
              <w:jc w:val="both"/>
              <w:rPr>
                <w:sz w:val="20"/>
                <w:szCs w:val="20"/>
              </w:rPr>
            </w:pPr>
            <w:r>
              <w:rPr>
                <w:sz w:val="20"/>
                <w:szCs w:val="20"/>
              </w:rPr>
              <w:t>+32 2 2980236</w:t>
            </w:r>
          </w:p>
          <w:p w:rsidR="003E607D" w:rsidRDefault="00E355C4">
            <w:pPr>
              <w:ind w:left="-108"/>
              <w:jc w:val="both"/>
              <w:rPr>
                <w:b/>
                <w:sz w:val="20"/>
                <w:szCs w:val="20"/>
              </w:rPr>
            </w:pPr>
            <w:r>
              <w:rPr>
                <w:b/>
                <w:sz w:val="20"/>
                <w:szCs w:val="20"/>
              </w:rPr>
              <w:t>Portique et le pavillon du jardin de Rubens</w:t>
            </w:r>
          </w:p>
          <w:p w:rsidR="003E607D" w:rsidRDefault="00E355C4">
            <w:pPr>
              <w:ind w:left="-108"/>
              <w:jc w:val="both"/>
              <w:rPr>
                <w:sz w:val="20"/>
                <w:szCs w:val="20"/>
              </w:rPr>
            </w:pPr>
            <w:r>
              <w:rPr>
                <w:sz w:val="20"/>
                <w:szCs w:val="20"/>
              </w:rPr>
              <w:t xml:space="preserve">Ben van Beneden </w:t>
            </w:r>
          </w:p>
          <w:p w:rsidR="003E607D" w:rsidRDefault="00E355C4">
            <w:pPr>
              <w:ind w:left="-108"/>
              <w:jc w:val="both"/>
              <w:rPr>
                <w:sz w:val="20"/>
                <w:szCs w:val="20"/>
              </w:rPr>
            </w:pPr>
            <w:r>
              <w:rPr>
                <w:sz w:val="20"/>
                <w:szCs w:val="20"/>
              </w:rPr>
              <w:t xml:space="preserve">ben.vanbeneden@antwerpen.be </w:t>
            </w:r>
          </w:p>
          <w:p w:rsidR="003E607D" w:rsidRDefault="003E607D">
            <w:pPr>
              <w:ind w:left="-108"/>
              <w:jc w:val="both"/>
              <w:rPr>
                <w:sz w:val="20"/>
                <w:szCs w:val="20"/>
              </w:rPr>
            </w:pPr>
          </w:p>
          <w:p w:rsidR="003E607D" w:rsidRDefault="003E607D">
            <w:pPr>
              <w:ind w:left="-108"/>
              <w:jc w:val="both"/>
              <w:rPr>
                <w:b/>
                <w:sz w:val="20"/>
                <w:szCs w:val="20"/>
                <w:highlight w:val="green"/>
              </w:rPr>
            </w:pPr>
          </w:p>
          <w:p w:rsidR="003E607D" w:rsidRDefault="003E607D">
            <w:pPr>
              <w:ind w:left="-108"/>
              <w:jc w:val="both"/>
              <w:rPr>
                <w:sz w:val="20"/>
                <w:szCs w:val="20"/>
                <w:highlight w:val="green"/>
              </w:rPr>
            </w:pPr>
          </w:p>
        </w:tc>
        <w:tc>
          <w:tcPr>
            <w:tcW w:w="5113" w:type="dxa"/>
          </w:tcPr>
          <w:p w:rsidR="003E607D" w:rsidRDefault="00E355C4">
            <w:pPr>
              <w:ind w:left="824"/>
              <w:jc w:val="both"/>
              <w:rPr>
                <w:b/>
                <w:sz w:val="20"/>
                <w:szCs w:val="20"/>
              </w:rPr>
            </w:pPr>
            <w:r>
              <w:rPr>
                <w:b/>
                <w:sz w:val="20"/>
                <w:szCs w:val="20"/>
              </w:rPr>
              <w:t>EN SAVOIR PLUS</w:t>
            </w:r>
          </w:p>
          <w:p w:rsidR="003E607D" w:rsidRDefault="003E607D">
            <w:pPr>
              <w:ind w:left="824"/>
              <w:jc w:val="both"/>
              <w:rPr>
                <w:sz w:val="20"/>
                <w:szCs w:val="20"/>
              </w:rPr>
            </w:pPr>
          </w:p>
          <w:p w:rsidR="003E607D" w:rsidRDefault="00E355C4">
            <w:pPr>
              <w:ind w:left="824"/>
              <w:rPr>
                <w:b/>
                <w:sz w:val="20"/>
                <w:szCs w:val="20"/>
              </w:rPr>
            </w:pPr>
            <w:r>
              <w:rPr>
                <w:b/>
                <w:sz w:val="20"/>
                <w:szCs w:val="20"/>
              </w:rPr>
              <w:t>Sur chaque lauréat:</w:t>
            </w:r>
          </w:p>
          <w:p w:rsidR="003E607D" w:rsidRDefault="005F2E1B">
            <w:pPr>
              <w:ind w:left="824"/>
              <w:rPr>
                <w:sz w:val="20"/>
                <w:szCs w:val="20"/>
              </w:rPr>
            </w:pPr>
            <w:hyperlink r:id="rId13">
              <w:r w:rsidR="00E355C4">
                <w:rPr>
                  <w:color w:val="0000FF"/>
                  <w:sz w:val="20"/>
                  <w:szCs w:val="20"/>
                  <w:u w:val="single"/>
                </w:rPr>
                <w:t>Informations et commentaires des jurys</w:t>
              </w:r>
            </w:hyperlink>
            <w:r w:rsidR="00E355C4">
              <w:rPr>
                <w:sz w:val="20"/>
                <w:szCs w:val="20"/>
              </w:rPr>
              <w:t xml:space="preserve">, </w:t>
            </w:r>
          </w:p>
          <w:p w:rsidR="003E607D" w:rsidRDefault="005F2E1B">
            <w:pPr>
              <w:ind w:left="824"/>
              <w:rPr>
                <w:sz w:val="20"/>
                <w:szCs w:val="20"/>
              </w:rPr>
            </w:pPr>
            <w:hyperlink r:id="rId14">
              <w:r w:rsidR="00E355C4">
                <w:rPr>
                  <w:color w:val="0000FF"/>
                  <w:sz w:val="20"/>
                  <w:szCs w:val="20"/>
                  <w:u w:val="single"/>
                </w:rPr>
                <w:t>Photos</w:t>
              </w:r>
            </w:hyperlink>
            <w:r w:rsidR="00E355C4">
              <w:rPr>
                <w:sz w:val="20"/>
                <w:szCs w:val="20"/>
              </w:rPr>
              <w:t xml:space="preserve"> et </w:t>
            </w:r>
            <w:hyperlink r:id="rId15">
              <w:r w:rsidR="00E355C4">
                <w:rPr>
                  <w:color w:val="0000FF"/>
                  <w:sz w:val="20"/>
                  <w:szCs w:val="20"/>
                  <w:u w:val="single"/>
                </w:rPr>
                <w:t>Vidéos</w:t>
              </w:r>
            </w:hyperlink>
            <w:r w:rsidR="00E355C4">
              <w:rPr>
                <w:sz w:val="20"/>
                <w:szCs w:val="20"/>
              </w:rPr>
              <w:t xml:space="preserve"> (en haute résolution)</w:t>
            </w:r>
          </w:p>
          <w:p w:rsidR="003E607D" w:rsidRDefault="003E607D">
            <w:pPr>
              <w:ind w:left="824"/>
              <w:rPr>
                <w:sz w:val="20"/>
                <w:szCs w:val="20"/>
              </w:rPr>
            </w:pPr>
          </w:p>
          <w:p w:rsidR="003E607D" w:rsidRDefault="00E355C4">
            <w:pPr>
              <w:ind w:left="824"/>
              <w:rPr>
                <w:color w:val="0000FF"/>
                <w:sz w:val="20"/>
                <w:szCs w:val="20"/>
                <w:u w:val="single"/>
              </w:rPr>
            </w:pPr>
            <w:r>
              <w:fldChar w:fldCharType="begin"/>
            </w:r>
            <w:r>
              <w:instrText xml:space="preserve"> HYPERLINK "https://www.europanostra.org/europes-top-heritage-awards-honour-21-exemplary-achievements-from-15-countries/" </w:instrText>
            </w:r>
            <w:r>
              <w:fldChar w:fldCharType="separate"/>
            </w:r>
            <w:r>
              <w:rPr>
                <w:color w:val="0000FF"/>
                <w:sz w:val="20"/>
                <w:szCs w:val="20"/>
                <w:u w:val="single"/>
              </w:rPr>
              <w:t>Communiqué de presse en plusieurs langues</w:t>
            </w:r>
          </w:p>
          <w:p w:rsidR="003E607D" w:rsidRDefault="00E355C4">
            <w:pPr>
              <w:ind w:left="824"/>
              <w:rPr>
                <w:sz w:val="20"/>
                <w:szCs w:val="20"/>
              </w:rPr>
            </w:pPr>
            <w:r>
              <w:fldChar w:fldCharType="end"/>
            </w:r>
          </w:p>
          <w:p w:rsidR="003E607D" w:rsidRDefault="005F2E1B">
            <w:pPr>
              <w:ind w:left="824"/>
              <w:rPr>
                <w:sz w:val="20"/>
                <w:szCs w:val="20"/>
              </w:rPr>
            </w:pPr>
            <w:hyperlink r:id="rId16">
              <w:r w:rsidR="00E355C4">
                <w:rPr>
                  <w:color w:val="0000FF"/>
                  <w:sz w:val="20"/>
                  <w:szCs w:val="20"/>
                  <w:u w:val="single"/>
                </w:rPr>
                <w:t>Site internet d'Europe Créative</w:t>
              </w:r>
            </w:hyperlink>
            <w:r w:rsidR="00E355C4">
              <w:rPr>
                <w:sz w:val="20"/>
                <w:szCs w:val="20"/>
              </w:rPr>
              <w:t xml:space="preserve"> </w:t>
            </w:r>
          </w:p>
          <w:p w:rsidR="003E607D" w:rsidRDefault="005F2E1B">
            <w:pPr>
              <w:ind w:left="824"/>
              <w:rPr>
                <w:color w:val="0000FF"/>
                <w:sz w:val="20"/>
                <w:szCs w:val="20"/>
                <w:u w:val="single"/>
              </w:rPr>
            </w:pPr>
            <w:hyperlink r:id="rId17">
              <w:r w:rsidR="00E355C4">
                <w:rPr>
                  <w:color w:val="0000FF"/>
                  <w:sz w:val="20"/>
                  <w:szCs w:val="20"/>
                  <w:u w:val="single"/>
                </w:rPr>
                <w:t>Site internet de la Commissaire Gabriel</w:t>
              </w:r>
            </w:hyperlink>
          </w:p>
          <w:p w:rsidR="003E607D" w:rsidRDefault="003E607D">
            <w:pPr>
              <w:ind w:left="824"/>
              <w:rPr>
                <w:color w:val="0000FF"/>
                <w:sz w:val="20"/>
                <w:szCs w:val="20"/>
                <w:u w:val="single"/>
              </w:rPr>
            </w:pPr>
          </w:p>
          <w:p w:rsidR="003E607D" w:rsidRDefault="003E607D">
            <w:pPr>
              <w:ind w:left="824"/>
              <w:rPr>
                <w:color w:val="0000FF"/>
                <w:sz w:val="20"/>
                <w:szCs w:val="20"/>
                <w:u w:val="single"/>
              </w:rPr>
            </w:pPr>
          </w:p>
          <w:p w:rsidR="003E607D" w:rsidRDefault="005F2E1B">
            <w:pPr>
              <w:ind w:left="850"/>
              <w:jc w:val="both"/>
              <w:rPr>
                <w:sz w:val="20"/>
                <w:szCs w:val="20"/>
              </w:rPr>
            </w:pPr>
            <w:hyperlink r:id="rId18" w:history="1">
              <w:r w:rsidR="00547EB4" w:rsidRPr="0082118A">
                <w:rPr>
                  <w:rStyle w:val="Hyperlink"/>
                  <w:sz w:val="20"/>
                  <w:szCs w:val="20"/>
                </w:rPr>
                <w:t>www.rubenshuis.be</w:t>
              </w:r>
            </w:hyperlink>
          </w:p>
          <w:p w:rsidR="003E607D" w:rsidRDefault="003E607D">
            <w:pPr>
              <w:ind w:left="824"/>
              <w:rPr>
                <w:sz w:val="20"/>
                <w:szCs w:val="20"/>
              </w:rPr>
            </w:pPr>
          </w:p>
          <w:p w:rsidR="003E607D" w:rsidRDefault="003E607D">
            <w:pPr>
              <w:ind w:left="824"/>
              <w:rPr>
                <w:sz w:val="20"/>
                <w:szCs w:val="20"/>
              </w:rPr>
            </w:pPr>
          </w:p>
          <w:p w:rsidR="003E607D" w:rsidRDefault="003E607D">
            <w:pPr>
              <w:ind w:left="824"/>
              <w:rPr>
                <w:sz w:val="20"/>
                <w:szCs w:val="20"/>
              </w:rPr>
            </w:pPr>
          </w:p>
          <w:p w:rsidR="003E607D" w:rsidRDefault="003E607D">
            <w:pPr>
              <w:ind w:left="824"/>
              <w:rPr>
                <w:sz w:val="20"/>
                <w:szCs w:val="20"/>
              </w:rPr>
            </w:pPr>
          </w:p>
          <w:p w:rsidR="003E607D" w:rsidRDefault="003E607D">
            <w:pPr>
              <w:ind w:left="824"/>
              <w:rPr>
                <w:sz w:val="20"/>
                <w:szCs w:val="20"/>
              </w:rPr>
            </w:pPr>
          </w:p>
          <w:p w:rsidR="003E607D" w:rsidRDefault="003E607D">
            <w:pPr>
              <w:rPr>
                <w:sz w:val="20"/>
                <w:szCs w:val="20"/>
              </w:rPr>
            </w:pPr>
          </w:p>
        </w:tc>
      </w:tr>
    </w:tbl>
    <w:p w:rsidR="003E607D" w:rsidRDefault="003E607D">
      <w:pPr>
        <w:keepNext/>
        <w:tabs>
          <w:tab w:val="left" w:pos="720"/>
          <w:tab w:val="left" w:pos="2160"/>
        </w:tabs>
        <w:spacing w:line="264" w:lineRule="auto"/>
        <w:ind w:right="57"/>
        <w:rPr>
          <w:b/>
          <w:color w:val="000000"/>
          <w:sz w:val="24"/>
          <w:szCs w:val="24"/>
        </w:rPr>
      </w:pPr>
    </w:p>
    <w:p w:rsidR="003E607D" w:rsidRDefault="00E355C4">
      <w:pPr>
        <w:keepNext/>
        <w:tabs>
          <w:tab w:val="left" w:pos="720"/>
          <w:tab w:val="left" w:pos="2160"/>
        </w:tabs>
        <w:spacing w:line="264" w:lineRule="auto"/>
        <w:ind w:right="57"/>
        <w:jc w:val="center"/>
        <w:rPr>
          <w:b/>
          <w:color w:val="000000"/>
          <w:sz w:val="24"/>
          <w:szCs w:val="24"/>
        </w:rPr>
      </w:pPr>
      <w:r>
        <w:rPr>
          <w:b/>
          <w:color w:val="000000"/>
          <w:sz w:val="24"/>
          <w:szCs w:val="24"/>
        </w:rPr>
        <w:t>Lauréats 2020</w:t>
      </w:r>
    </w:p>
    <w:p w:rsidR="003E607D" w:rsidRDefault="00E355C4">
      <w:pPr>
        <w:keepNext/>
        <w:spacing w:line="264" w:lineRule="auto"/>
        <w:ind w:right="57"/>
        <w:jc w:val="center"/>
        <w:rPr>
          <w:b/>
          <w:i/>
          <w:color w:val="000000"/>
          <w:sz w:val="20"/>
          <w:szCs w:val="20"/>
        </w:rPr>
      </w:pPr>
      <w:r>
        <w:rPr>
          <w:i/>
          <w:color w:val="000000"/>
          <w:sz w:val="20"/>
          <w:szCs w:val="20"/>
        </w:rPr>
        <w:t>(par ordre alphabétique des pays)</w:t>
      </w:r>
    </w:p>
    <w:p w:rsidR="003E607D" w:rsidRDefault="00E355C4">
      <w:pPr>
        <w:rPr>
          <w:b/>
          <w:color w:val="000000"/>
          <w:sz w:val="20"/>
          <w:szCs w:val="20"/>
          <w:highlight w:val="white"/>
        </w:rPr>
      </w:pPr>
      <w:r>
        <w:rPr>
          <w:b/>
          <w:color w:val="000000"/>
          <w:sz w:val="20"/>
          <w:szCs w:val="20"/>
          <w:highlight w:val="white"/>
        </w:rPr>
        <w:t>Conservation</w:t>
      </w:r>
    </w:p>
    <w:p w:rsidR="003E607D" w:rsidRDefault="005F2E1B">
      <w:pPr>
        <w:rPr>
          <w:color w:val="000000"/>
          <w:sz w:val="20"/>
          <w:szCs w:val="20"/>
          <w:highlight w:val="white"/>
        </w:rPr>
      </w:pPr>
      <w:hyperlink r:id="rId19">
        <w:r w:rsidR="00E355C4">
          <w:rPr>
            <w:color w:val="0000FF"/>
            <w:sz w:val="20"/>
            <w:szCs w:val="20"/>
            <w:highlight w:val="white"/>
            <w:u w:val="single"/>
          </w:rPr>
          <w:t>Epitaphes de l'église de l'Université de Leipzig, ALLEMAGNE</w:t>
        </w:r>
      </w:hyperlink>
    </w:p>
    <w:p w:rsidR="003E607D" w:rsidRDefault="005F2E1B">
      <w:pPr>
        <w:rPr>
          <w:color w:val="000000"/>
          <w:sz w:val="20"/>
          <w:szCs w:val="20"/>
          <w:highlight w:val="white"/>
        </w:rPr>
      </w:pPr>
      <w:hyperlink r:id="rId20">
        <w:r w:rsidR="00E355C4">
          <w:rPr>
            <w:color w:val="0000FF"/>
            <w:sz w:val="20"/>
            <w:szCs w:val="20"/>
            <w:highlight w:val="white"/>
            <w:u w:val="single"/>
          </w:rPr>
          <w:t>Portique et Pavillon du Jardin de Rubens, Anvers, BELGIQUE</w:t>
        </w:r>
      </w:hyperlink>
    </w:p>
    <w:p w:rsidR="003E607D" w:rsidRDefault="005F2E1B">
      <w:pPr>
        <w:rPr>
          <w:color w:val="000000"/>
          <w:sz w:val="20"/>
          <w:szCs w:val="20"/>
          <w:highlight w:val="white"/>
        </w:rPr>
      </w:pPr>
      <w:hyperlink r:id="rId21">
        <w:r w:rsidR="00E355C4">
          <w:rPr>
            <w:color w:val="0000FF"/>
            <w:sz w:val="20"/>
            <w:szCs w:val="20"/>
            <w:highlight w:val="white"/>
            <w:u w:val="single"/>
          </w:rPr>
          <w:t>Arsenal de Hvar, CROATIE</w:t>
        </w:r>
      </w:hyperlink>
    </w:p>
    <w:p w:rsidR="003E607D" w:rsidRDefault="005F2E1B">
      <w:pPr>
        <w:rPr>
          <w:color w:val="000000"/>
          <w:sz w:val="20"/>
          <w:szCs w:val="20"/>
          <w:highlight w:val="white"/>
        </w:rPr>
      </w:pPr>
      <w:hyperlink r:id="rId22">
        <w:r w:rsidR="00E355C4">
          <w:rPr>
            <w:color w:val="0000FF"/>
            <w:sz w:val="20"/>
            <w:szCs w:val="20"/>
            <w:highlight w:val="white"/>
            <w:u w:val="single"/>
          </w:rPr>
          <w:t xml:space="preserve">Grottes et vignobles souterrains d'El </w:t>
        </w:r>
        <w:proofErr w:type="spellStart"/>
        <w:r w:rsidR="00E355C4">
          <w:rPr>
            <w:color w:val="0000FF"/>
            <w:sz w:val="20"/>
            <w:szCs w:val="20"/>
            <w:highlight w:val="white"/>
            <w:u w:val="single"/>
          </w:rPr>
          <w:t>Cotarro</w:t>
        </w:r>
        <w:proofErr w:type="spellEnd"/>
        <w:r w:rsidR="00E355C4">
          <w:rPr>
            <w:color w:val="0000FF"/>
            <w:sz w:val="20"/>
            <w:szCs w:val="20"/>
            <w:highlight w:val="white"/>
            <w:u w:val="single"/>
          </w:rPr>
          <w:t>, province de Burgos, ESPAGNE</w:t>
        </w:r>
      </w:hyperlink>
    </w:p>
    <w:p w:rsidR="003E607D" w:rsidRDefault="005F2E1B">
      <w:pPr>
        <w:rPr>
          <w:color w:val="000000"/>
          <w:sz w:val="20"/>
          <w:szCs w:val="20"/>
          <w:highlight w:val="white"/>
        </w:rPr>
      </w:pPr>
      <w:hyperlink r:id="rId23">
        <w:r w:rsidR="00E355C4">
          <w:rPr>
            <w:color w:val="0000FF"/>
            <w:sz w:val="20"/>
            <w:szCs w:val="20"/>
            <w:highlight w:val="white"/>
            <w:u w:val="single"/>
          </w:rPr>
          <w:t>Musée des Beaux-Arts, Budapest, HONGRIE</w:t>
        </w:r>
      </w:hyperlink>
    </w:p>
    <w:p w:rsidR="003E607D" w:rsidRDefault="00E355C4">
      <w:pPr>
        <w:rPr>
          <w:color w:val="0000FF"/>
          <w:sz w:val="20"/>
          <w:szCs w:val="20"/>
          <w:highlight w:val="white"/>
          <w:u w:val="single"/>
        </w:rPr>
      </w:pPr>
      <w:r>
        <w:fldChar w:fldCharType="begin"/>
      </w:r>
      <w:r>
        <w:instrText xml:space="preserve"> HYPERLINK "http://www.europeanheritageawards.eu/winners/basilica-santa-maria-di-collemaggio/" </w:instrText>
      </w:r>
      <w:r>
        <w:fldChar w:fldCharType="separate"/>
      </w:r>
      <w:r>
        <w:rPr>
          <w:color w:val="0000FF"/>
          <w:sz w:val="20"/>
          <w:szCs w:val="20"/>
          <w:highlight w:val="white"/>
          <w:u w:val="single"/>
        </w:rPr>
        <w:t xml:space="preserve">Basilique de Santa Maria di </w:t>
      </w:r>
      <w:proofErr w:type="spellStart"/>
      <w:r>
        <w:rPr>
          <w:color w:val="0000FF"/>
          <w:sz w:val="20"/>
          <w:szCs w:val="20"/>
          <w:highlight w:val="white"/>
          <w:u w:val="single"/>
        </w:rPr>
        <w:t>Collemaggio</w:t>
      </w:r>
      <w:proofErr w:type="spellEnd"/>
      <w:r>
        <w:rPr>
          <w:color w:val="0000FF"/>
          <w:sz w:val="20"/>
          <w:szCs w:val="20"/>
          <w:highlight w:val="white"/>
          <w:u w:val="single"/>
        </w:rPr>
        <w:t>, L’Aquila, ITALIE</w:t>
      </w:r>
    </w:p>
    <w:p w:rsidR="003E607D" w:rsidRDefault="00E355C4">
      <w:pPr>
        <w:rPr>
          <w:color w:val="000000"/>
          <w:sz w:val="20"/>
          <w:szCs w:val="20"/>
          <w:highlight w:val="white"/>
        </w:rPr>
      </w:pPr>
      <w:r>
        <w:fldChar w:fldCharType="end"/>
      </w:r>
      <w:hyperlink r:id="rId24">
        <w:proofErr w:type="spellStart"/>
        <w:r>
          <w:rPr>
            <w:color w:val="0000FF"/>
            <w:sz w:val="20"/>
            <w:szCs w:val="20"/>
            <w:highlight w:val="white"/>
            <w:u w:val="single"/>
          </w:rPr>
          <w:t>LocHal</w:t>
        </w:r>
        <w:proofErr w:type="spellEnd"/>
        <w:r>
          <w:rPr>
            <w:color w:val="0000FF"/>
            <w:sz w:val="20"/>
            <w:szCs w:val="20"/>
            <w:highlight w:val="white"/>
            <w:u w:val="single"/>
          </w:rPr>
          <w:t>, Tilburg, PAYS-BAS</w:t>
        </w:r>
      </w:hyperlink>
    </w:p>
    <w:p w:rsidR="003E607D" w:rsidRDefault="005F2E1B">
      <w:pPr>
        <w:rPr>
          <w:color w:val="000000"/>
          <w:sz w:val="20"/>
          <w:szCs w:val="20"/>
          <w:highlight w:val="white"/>
        </w:rPr>
      </w:pPr>
      <w:hyperlink r:id="rId25">
        <w:proofErr w:type="spellStart"/>
        <w:r w:rsidR="00E355C4">
          <w:rPr>
            <w:color w:val="0000FF"/>
            <w:sz w:val="20"/>
            <w:szCs w:val="20"/>
            <w:highlight w:val="white"/>
            <w:u w:val="single"/>
          </w:rPr>
          <w:t>Iron</w:t>
        </w:r>
        <w:proofErr w:type="spellEnd"/>
        <w:r w:rsidR="00E355C4">
          <w:rPr>
            <w:color w:val="0000FF"/>
            <w:sz w:val="20"/>
            <w:szCs w:val="20"/>
            <w:highlight w:val="white"/>
            <w:u w:val="single"/>
          </w:rPr>
          <w:t xml:space="preserve"> Bridge, Shropshire, ROYAUME-UNI</w:t>
        </w:r>
      </w:hyperlink>
    </w:p>
    <w:p w:rsidR="003E607D" w:rsidRDefault="003E607D">
      <w:pPr>
        <w:rPr>
          <w:b/>
          <w:color w:val="000000"/>
          <w:sz w:val="20"/>
          <w:szCs w:val="20"/>
          <w:highlight w:val="white"/>
        </w:rPr>
      </w:pPr>
    </w:p>
    <w:p w:rsidR="003E607D" w:rsidRDefault="00E355C4">
      <w:pPr>
        <w:rPr>
          <w:b/>
          <w:color w:val="000000"/>
          <w:sz w:val="20"/>
          <w:szCs w:val="20"/>
          <w:highlight w:val="white"/>
        </w:rPr>
      </w:pPr>
      <w:r>
        <w:rPr>
          <w:b/>
          <w:color w:val="000000"/>
          <w:sz w:val="20"/>
          <w:szCs w:val="20"/>
          <w:highlight w:val="white"/>
        </w:rPr>
        <w:t>Recherche</w:t>
      </w:r>
    </w:p>
    <w:p w:rsidR="003E607D" w:rsidRDefault="005F2E1B">
      <w:pPr>
        <w:rPr>
          <w:color w:val="000000"/>
          <w:sz w:val="20"/>
          <w:szCs w:val="20"/>
          <w:highlight w:val="white"/>
        </w:rPr>
      </w:pPr>
      <w:hyperlink r:id="rId26">
        <w:r w:rsidR="00E355C4">
          <w:rPr>
            <w:color w:val="0000FF"/>
            <w:sz w:val="20"/>
            <w:szCs w:val="20"/>
            <w:highlight w:val="white"/>
            <w:u w:val="single"/>
          </w:rPr>
          <w:t xml:space="preserve">Réseau </w:t>
        </w:r>
        <w:proofErr w:type="spellStart"/>
        <w:r w:rsidR="00E355C4">
          <w:rPr>
            <w:color w:val="0000FF"/>
            <w:sz w:val="20"/>
            <w:szCs w:val="20"/>
            <w:highlight w:val="white"/>
            <w:u w:val="single"/>
          </w:rPr>
          <w:t>Tramontana</w:t>
        </w:r>
        <w:proofErr w:type="spellEnd"/>
        <w:r w:rsidR="00E355C4">
          <w:rPr>
            <w:color w:val="0000FF"/>
            <w:sz w:val="20"/>
            <w:szCs w:val="20"/>
            <w:highlight w:val="white"/>
            <w:u w:val="single"/>
          </w:rPr>
          <w:t xml:space="preserve"> III, ESPAGNE/FRANCE/ITALIE/POLOGNE/PORTUGAL</w:t>
        </w:r>
      </w:hyperlink>
    </w:p>
    <w:p w:rsidR="003E607D" w:rsidRDefault="005F2E1B">
      <w:pPr>
        <w:rPr>
          <w:color w:val="000000"/>
          <w:sz w:val="20"/>
          <w:szCs w:val="20"/>
          <w:highlight w:val="white"/>
        </w:rPr>
      </w:pPr>
      <w:hyperlink r:id="rId27">
        <w:r w:rsidR="00E355C4">
          <w:rPr>
            <w:color w:val="0000FF"/>
            <w:sz w:val="20"/>
            <w:szCs w:val="20"/>
            <w:highlight w:val="white"/>
            <w:u w:val="single"/>
          </w:rPr>
          <w:t>Turin Papyrus Online Platform (TPOP), ITALIE</w:t>
        </w:r>
      </w:hyperlink>
    </w:p>
    <w:p w:rsidR="003E607D" w:rsidRDefault="005F2E1B">
      <w:pPr>
        <w:rPr>
          <w:b/>
          <w:color w:val="000000"/>
          <w:sz w:val="20"/>
          <w:szCs w:val="20"/>
          <w:highlight w:val="white"/>
        </w:rPr>
      </w:pPr>
      <w:hyperlink r:id="rId28">
        <w:r w:rsidR="00E355C4">
          <w:rPr>
            <w:color w:val="0000FF"/>
            <w:sz w:val="20"/>
            <w:szCs w:val="20"/>
            <w:highlight w:val="white"/>
            <w:u w:val="single"/>
          </w:rPr>
          <w:t>Numérisation pour la Syrie, PAYS-BAS</w:t>
        </w:r>
      </w:hyperlink>
    </w:p>
    <w:p w:rsidR="003E607D" w:rsidRDefault="003E607D">
      <w:pPr>
        <w:rPr>
          <w:b/>
          <w:color w:val="000000"/>
          <w:sz w:val="20"/>
          <w:szCs w:val="20"/>
          <w:highlight w:val="white"/>
        </w:rPr>
      </w:pPr>
    </w:p>
    <w:p w:rsidR="003E607D" w:rsidRDefault="00E355C4">
      <w:pPr>
        <w:rPr>
          <w:b/>
          <w:color w:val="000000"/>
          <w:sz w:val="20"/>
          <w:szCs w:val="20"/>
          <w:highlight w:val="white"/>
        </w:rPr>
      </w:pPr>
      <w:r>
        <w:rPr>
          <w:b/>
          <w:color w:val="000000"/>
          <w:sz w:val="20"/>
          <w:szCs w:val="20"/>
          <w:highlight w:val="white"/>
        </w:rPr>
        <w:t>Contributions exemplaires</w:t>
      </w:r>
    </w:p>
    <w:p w:rsidR="003E607D" w:rsidRDefault="005F2E1B">
      <w:pPr>
        <w:rPr>
          <w:color w:val="000000"/>
          <w:sz w:val="20"/>
          <w:szCs w:val="20"/>
          <w:highlight w:val="white"/>
        </w:rPr>
      </w:pPr>
      <w:hyperlink r:id="rId29">
        <w:r w:rsidR="00E355C4">
          <w:rPr>
            <w:color w:val="0000FF"/>
            <w:sz w:val="20"/>
            <w:szCs w:val="20"/>
            <w:highlight w:val="white"/>
            <w:u w:val="single"/>
          </w:rPr>
          <w:t xml:space="preserve">M. Don </w:t>
        </w:r>
        <w:proofErr w:type="spellStart"/>
        <w:r w:rsidR="00E355C4">
          <w:rPr>
            <w:color w:val="0000FF"/>
            <w:sz w:val="20"/>
            <w:szCs w:val="20"/>
            <w:highlight w:val="white"/>
            <w:u w:val="single"/>
          </w:rPr>
          <w:t>Duco</w:t>
        </w:r>
        <w:proofErr w:type="spellEnd"/>
        <w:r w:rsidR="00E355C4">
          <w:rPr>
            <w:color w:val="0000FF"/>
            <w:sz w:val="20"/>
            <w:szCs w:val="20"/>
            <w:highlight w:val="white"/>
            <w:u w:val="single"/>
          </w:rPr>
          <w:t>, PAYS-BAS</w:t>
        </w:r>
      </w:hyperlink>
    </w:p>
    <w:p w:rsidR="003E607D" w:rsidRDefault="003E607D">
      <w:pPr>
        <w:rPr>
          <w:b/>
          <w:color w:val="000000"/>
          <w:sz w:val="20"/>
          <w:szCs w:val="20"/>
          <w:highlight w:val="white"/>
        </w:rPr>
      </w:pPr>
    </w:p>
    <w:p w:rsidR="003E607D" w:rsidRDefault="00E355C4">
      <w:pPr>
        <w:rPr>
          <w:b/>
          <w:color w:val="000000"/>
          <w:sz w:val="20"/>
          <w:szCs w:val="20"/>
          <w:highlight w:val="white"/>
        </w:rPr>
      </w:pPr>
      <w:r>
        <w:rPr>
          <w:b/>
          <w:color w:val="000000"/>
          <w:sz w:val="20"/>
          <w:szCs w:val="20"/>
          <w:highlight w:val="white"/>
        </w:rPr>
        <w:t>Education, Formation et Sensibilisation</w:t>
      </w:r>
    </w:p>
    <w:p w:rsidR="003E607D" w:rsidRDefault="005F2E1B">
      <w:pPr>
        <w:rPr>
          <w:color w:val="000000"/>
          <w:sz w:val="20"/>
          <w:szCs w:val="20"/>
          <w:highlight w:val="white"/>
        </w:rPr>
      </w:pPr>
      <w:hyperlink r:id="rId30">
        <w:r w:rsidR="00E355C4">
          <w:rPr>
            <w:color w:val="0000FF"/>
            <w:sz w:val="20"/>
            <w:szCs w:val="20"/>
            <w:highlight w:val="white"/>
            <w:u w:val="single"/>
          </w:rPr>
          <w:t>Archives en ligne d'</w:t>
        </w:r>
        <w:proofErr w:type="spellStart"/>
        <w:r w:rsidR="00E355C4">
          <w:rPr>
            <w:color w:val="0000FF"/>
            <w:sz w:val="20"/>
            <w:szCs w:val="20"/>
            <w:highlight w:val="white"/>
            <w:u w:val="single"/>
          </w:rPr>
          <w:t>Arolsen</w:t>
        </w:r>
        <w:proofErr w:type="spellEnd"/>
        <w:r w:rsidR="00E355C4">
          <w:rPr>
            <w:color w:val="0000FF"/>
            <w:sz w:val="20"/>
            <w:szCs w:val="20"/>
            <w:highlight w:val="white"/>
            <w:u w:val="single"/>
          </w:rPr>
          <w:t>, ALLEMAGNE</w:t>
        </w:r>
      </w:hyperlink>
    </w:p>
    <w:p w:rsidR="003E607D" w:rsidRDefault="005F2E1B">
      <w:pPr>
        <w:rPr>
          <w:color w:val="000000"/>
          <w:sz w:val="20"/>
          <w:szCs w:val="20"/>
          <w:highlight w:val="white"/>
        </w:rPr>
      </w:pPr>
      <w:hyperlink r:id="rId31">
        <w:r w:rsidR="00E355C4">
          <w:rPr>
            <w:color w:val="0000FF"/>
            <w:sz w:val="20"/>
            <w:szCs w:val="20"/>
            <w:highlight w:val="white"/>
            <w:u w:val="single"/>
          </w:rPr>
          <w:t xml:space="preserve">La Vie Secrète d'un Palais, </w:t>
        </w:r>
        <w:proofErr w:type="spellStart"/>
        <w:r w:rsidR="00E355C4">
          <w:rPr>
            <w:color w:val="0000FF"/>
            <w:sz w:val="20"/>
            <w:szCs w:val="20"/>
            <w:highlight w:val="white"/>
            <w:u w:val="single"/>
          </w:rPr>
          <w:t>Gödöllő</w:t>
        </w:r>
        <w:proofErr w:type="spellEnd"/>
        <w:r w:rsidR="00E355C4">
          <w:rPr>
            <w:color w:val="0000FF"/>
            <w:sz w:val="20"/>
            <w:szCs w:val="20"/>
            <w:highlight w:val="white"/>
            <w:u w:val="single"/>
          </w:rPr>
          <w:t>, HONGRIE</w:t>
        </w:r>
      </w:hyperlink>
    </w:p>
    <w:p w:rsidR="003E607D" w:rsidRDefault="005F2E1B">
      <w:pPr>
        <w:rPr>
          <w:color w:val="000000"/>
          <w:sz w:val="20"/>
          <w:szCs w:val="20"/>
          <w:highlight w:val="white"/>
        </w:rPr>
      </w:pPr>
      <w:hyperlink r:id="rId32">
        <w:proofErr w:type="spellStart"/>
        <w:r w:rsidR="00E355C4">
          <w:rPr>
            <w:color w:val="0000FF"/>
            <w:sz w:val="20"/>
            <w:szCs w:val="20"/>
            <w:highlight w:val="white"/>
            <w:u w:val="single"/>
          </w:rPr>
          <w:t>Uccu</w:t>
        </w:r>
        <w:proofErr w:type="spellEnd"/>
        <w:r w:rsidR="00E355C4">
          <w:rPr>
            <w:color w:val="0000FF"/>
            <w:sz w:val="20"/>
            <w:szCs w:val="20"/>
            <w:highlight w:val="white"/>
            <w:u w:val="single"/>
          </w:rPr>
          <w:t xml:space="preserve"> Roma Informal </w:t>
        </w:r>
        <w:proofErr w:type="spellStart"/>
        <w:r w:rsidR="00E355C4">
          <w:rPr>
            <w:color w:val="0000FF"/>
            <w:sz w:val="20"/>
            <w:szCs w:val="20"/>
            <w:highlight w:val="white"/>
            <w:u w:val="single"/>
          </w:rPr>
          <w:t>Educational</w:t>
        </w:r>
        <w:proofErr w:type="spellEnd"/>
        <w:r w:rsidR="00E355C4">
          <w:rPr>
            <w:color w:val="0000FF"/>
            <w:sz w:val="20"/>
            <w:szCs w:val="20"/>
            <w:highlight w:val="white"/>
            <w:u w:val="single"/>
          </w:rPr>
          <w:t xml:space="preserve"> </w:t>
        </w:r>
        <w:proofErr w:type="spellStart"/>
        <w:r w:rsidR="00E355C4">
          <w:rPr>
            <w:color w:val="0000FF"/>
            <w:sz w:val="20"/>
            <w:szCs w:val="20"/>
            <w:highlight w:val="white"/>
            <w:u w:val="single"/>
          </w:rPr>
          <w:t>Foundation</w:t>
        </w:r>
        <w:proofErr w:type="spellEnd"/>
        <w:r w:rsidR="00E355C4">
          <w:rPr>
            <w:color w:val="0000FF"/>
            <w:sz w:val="20"/>
            <w:szCs w:val="20"/>
            <w:highlight w:val="white"/>
            <w:u w:val="single"/>
          </w:rPr>
          <w:t>, HONGRIE</w:t>
        </w:r>
      </w:hyperlink>
    </w:p>
    <w:p w:rsidR="003E607D" w:rsidRDefault="005F2E1B">
      <w:pPr>
        <w:rPr>
          <w:color w:val="000000"/>
          <w:sz w:val="20"/>
          <w:szCs w:val="20"/>
          <w:highlight w:val="white"/>
        </w:rPr>
      </w:pPr>
      <w:hyperlink r:id="rId33">
        <w:r w:rsidR="00E355C4">
          <w:rPr>
            <w:color w:val="0000FF"/>
            <w:sz w:val="20"/>
            <w:szCs w:val="20"/>
            <w:highlight w:val="white"/>
            <w:u w:val="single"/>
          </w:rPr>
          <w:t xml:space="preserve">Auschwitz. Not long </w:t>
        </w:r>
        <w:proofErr w:type="spellStart"/>
        <w:r w:rsidR="00E355C4">
          <w:rPr>
            <w:color w:val="0000FF"/>
            <w:sz w:val="20"/>
            <w:szCs w:val="20"/>
            <w:highlight w:val="white"/>
            <w:u w:val="single"/>
          </w:rPr>
          <w:t>ago</w:t>
        </w:r>
        <w:proofErr w:type="spellEnd"/>
        <w:r w:rsidR="00E355C4">
          <w:rPr>
            <w:color w:val="0000FF"/>
            <w:sz w:val="20"/>
            <w:szCs w:val="20"/>
            <w:highlight w:val="white"/>
            <w:u w:val="single"/>
          </w:rPr>
          <w:t xml:space="preserve">. Not far </w:t>
        </w:r>
        <w:proofErr w:type="spellStart"/>
        <w:r w:rsidR="00E355C4">
          <w:rPr>
            <w:color w:val="0000FF"/>
            <w:sz w:val="20"/>
            <w:szCs w:val="20"/>
            <w:highlight w:val="white"/>
            <w:u w:val="single"/>
          </w:rPr>
          <w:t>away</w:t>
        </w:r>
        <w:proofErr w:type="spellEnd"/>
        <w:r w:rsidR="00E355C4">
          <w:rPr>
            <w:color w:val="0000FF"/>
            <w:sz w:val="20"/>
            <w:szCs w:val="20"/>
            <w:highlight w:val="white"/>
            <w:u w:val="single"/>
          </w:rPr>
          <w:t>, POLOGNE/ESPAGNE</w:t>
        </w:r>
      </w:hyperlink>
    </w:p>
    <w:p w:rsidR="003E607D" w:rsidRDefault="005F2E1B">
      <w:pPr>
        <w:rPr>
          <w:color w:val="000000"/>
          <w:sz w:val="20"/>
          <w:szCs w:val="20"/>
          <w:highlight w:val="white"/>
        </w:rPr>
      </w:pPr>
      <w:hyperlink r:id="rId34">
        <w:r w:rsidR="00E355C4">
          <w:rPr>
            <w:color w:val="0000FF"/>
            <w:sz w:val="20"/>
            <w:szCs w:val="20"/>
            <w:highlight w:val="white"/>
            <w:u w:val="single"/>
          </w:rPr>
          <w:t>Collaboration transfrontalière pour la musique classique européenne, REPUBLIQUE TCHEQUE</w:t>
        </w:r>
      </w:hyperlink>
    </w:p>
    <w:p w:rsidR="003E607D" w:rsidRDefault="005F2E1B">
      <w:pPr>
        <w:rPr>
          <w:color w:val="000000"/>
          <w:sz w:val="20"/>
          <w:szCs w:val="20"/>
          <w:highlight w:val="white"/>
        </w:rPr>
      </w:pPr>
      <w:hyperlink r:id="rId35">
        <w:r w:rsidR="00E355C4">
          <w:rPr>
            <w:color w:val="0000FF"/>
            <w:sz w:val="20"/>
            <w:szCs w:val="20"/>
            <w:highlight w:val="white"/>
            <w:u w:val="single"/>
          </w:rPr>
          <w:t>L'Ambulance pour les Monuments, ROUMANIE</w:t>
        </w:r>
      </w:hyperlink>
    </w:p>
    <w:p w:rsidR="003E607D" w:rsidRDefault="003E607D">
      <w:pPr>
        <w:pBdr>
          <w:top w:val="nil"/>
          <w:left w:val="nil"/>
          <w:bottom w:val="nil"/>
          <w:right w:val="nil"/>
          <w:between w:val="nil"/>
        </w:pBdr>
        <w:rPr>
          <w:b/>
          <w:color w:val="000000"/>
          <w:sz w:val="20"/>
          <w:szCs w:val="20"/>
          <w:highlight w:val="white"/>
        </w:rPr>
      </w:pPr>
    </w:p>
    <w:p w:rsidR="003E607D" w:rsidRDefault="00E355C4">
      <w:pPr>
        <w:pBdr>
          <w:top w:val="nil"/>
          <w:left w:val="nil"/>
          <w:bottom w:val="nil"/>
          <w:right w:val="nil"/>
          <w:between w:val="nil"/>
        </w:pBdr>
        <w:rPr>
          <w:color w:val="000000"/>
          <w:sz w:val="20"/>
          <w:szCs w:val="20"/>
        </w:rPr>
      </w:pPr>
      <w:r>
        <w:rPr>
          <w:color w:val="000000"/>
          <w:sz w:val="20"/>
          <w:szCs w:val="20"/>
        </w:rPr>
        <w:t xml:space="preserve">Les Prix Europa </w:t>
      </w:r>
      <w:proofErr w:type="spellStart"/>
      <w:r>
        <w:rPr>
          <w:color w:val="000000"/>
          <w:sz w:val="20"/>
          <w:szCs w:val="20"/>
        </w:rPr>
        <w:t>Nostra</w:t>
      </w:r>
      <w:proofErr w:type="spellEnd"/>
      <w:r>
        <w:rPr>
          <w:color w:val="000000"/>
          <w:sz w:val="20"/>
          <w:szCs w:val="20"/>
        </w:rPr>
        <w:t xml:space="preserve"> sont décernés à trois réalisations patrimoniales remarquables issues de pays européens ne participant pas au programme Europe Créative de l’UE.</w:t>
      </w:r>
    </w:p>
    <w:p w:rsidR="003E607D" w:rsidRDefault="003E607D">
      <w:pPr>
        <w:rPr>
          <w:b/>
          <w:color w:val="000000"/>
          <w:sz w:val="20"/>
          <w:szCs w:val="20"/>
          <w:highlight w:val="white"/>
        </w:rPr>
      </w:pPr>
    </w:p>
    <w:p w:rsidR="003E607D" w:rsidRDefault="00E355C4">
      <w:pPr>
        <w:rPr>
          <w:sz w:val="20"/>
          <w:szCs w:val="20"/>
        </w:rPr>
      </w:pPr>
      <w:r>
        <w:rPr>
          <w:b/>
          <w:color w:val="000000"/>
          <w:sz w:val="20"/>
          <w:szCs w:val="20"/>
          <w:highlight w:val="white"/>
        </w:rPr>
        <w:t>Catégorie « Conservation »</w:t>
      </w:r>
    </w:p>
    <w:p w:rsidR="003E607D" w:rsidRDefault="005F2E1B">
      <w:pPr>
        <w:rPr>
          <w:color w:val="000000"/>
          <w:sz w:val="20"/>
          <w:szCs w:val="20"/>
          <w:highlight w:val="white"/>
        </w:rPr>
      </w:pPr>
      <w:hyperlink r:id="rId36">
        <w:r w:rsidR="00E355C4">
          <w:rPr>
            <w:color w:val="0000FF"/>
            <w:sz w:val="20"/>
            <w:szCs w:val="20"/>
            <w:highlight w:val="white"/>
            <w:u w:val="single"/>
          </w:rPr>
          <w:t>Ferme Manoir à Bois de Chênes, SUISSE</w:t>
        </w:r>
      </w:hyperlink>
    </w:p>
    <w:p w:rsidR="003E607D" w:rsidRDefault="003E607D">
      <w:pPr>
        <w:pBdr>
          <w:top w:val="nil"/>
          <w:left w:val="nil"/>
          <w:bottom w:val="nil"/>
          <w:right w:val="nil"/>
          <w:between w:val="nil"/>
        </w:pBdr>
        <w:rPr>
          <w:b/>
          <w:color w:val="000000"/>
          <w:sz w:val="20"/>
          <w:szCs w:val="20"/>
        </w:rPr>
      </w:pPr>
    </w:p>
    <w:p w:rsidR="003E607D" w:rsidRDefault="00E355C4">
      <w:pPr>
        <w:pBdr>
          <w:top w:val="nil"/>
          <w:left w:val="nil"/>
          <w:bottom w:val="nil"/>
          <w:right w:val="nil"/>
          <w:between w:val="nil"/>
        </w:pBdr>
        <w:rPr>
          <w:b/>
          <w:color w:val="000000"/>
          <w:sz w:val="20"/>
          <w:szCs w:val="20"/>
        </w:rPr>
      </w:pPr>
      <w:r>
        <w:rPr>
          <w:b/>
          <w:color w:val="000000"/>
          <w:sz w:val="20"/>
          <w:szCs w:val="20"/>
        </w:rPr>
        <w:t>Catégorie « Contributions exemplaires »</w:t>
      </w:r>
    </w:p>
    <w:p w:rsidR="003E607D" w:rsidRDefault="005F2E1B">
      <w:pPr>
        <w:rPr>
          <w:color w:val="000000"/>
          <w:sz w:val="20"/>
          <w:szCs w:val="20"/>
          <w:highlight w:val="white"/>
        </w:rPr>
      </w:pPr>
      <w:hyperlink r:id="rId37">
        <w:r w:rsidR="00E355C4">
          <w:rPr>
            <w:color w:val="0000FF"/>
            <w:sz w:val="20"/>
            <w:szCs w:val="20"/>
            <w:highlight w:val="white"/>
            <w:u w:val="single"/>
          </w:rPr>
          <w:t>Société de Lecture, Genève, SUISSE</w:t>
        </w:r>
      </w:hyperlink>
    </w:p>
    <w:p w:rsidR="003E607D" w:rsidRDefault="003E607D">
      <w:pPr>
        <w:pBdr>
          <w:top w:val="nil"/>
          <w:left w:val="nil"/>
          <w:bottom w:val="nil"/>
          <w:right w:val="nil"/>
          <w:between w:val="nil"/>
        </w:pBdr>
        <w:rPr>
          <w:color w:val="000000"/>
          <w:sz w:val="20"/>
          <w:szCs w:val="20"/>
        </w:rPr>
      </w:pPr>
    </w:p>
    <w:p w:rsidR="003E607D" w:rsidRDefault="00E355C4">
      <w:pPr>
        <w:rPr>
          <w:b/>
          <w:color w:val="000000"/>
          <w:sz w:val="20"/>
          <w:szCs w:val="20"/>
          <w:highlight w:val="white"/>
        </w:rPr>
      </w:pPr>
      <w:r>
        <w:rPr>
          <w:b/>
          <w:color w:val="000000"/>
          <w:sz w:val="20"/>
          <w:szCs w:val="20"/>
          <w:highlight w:val="white"/>
        </w:rPr>
        <w:t>Catégorie « Education, Formation et Sensibilisation »</w:t>
      </w:r>
    </w:p>
    <w:p w:rsidR="003E607D" w:rsidRDefault="005F2E1B">
      <w:pPr>
        <w:rPr>
          <w:color w:val="0000FF"/>
          <w:sz w:val="20"/>
          <w:szCs w:val="20"/>
          <w:highlight w:val="white"/>
          <w:u w:val="single"/>
        </w:rPr>
      </w:pPr>
      <w:hyperlink r:id="rId38">
        <w:r w:rsidR="00E355C4">
          <w:rPr>
            <w:color w:val="0000FF"/>
            <w:sz w:val="20"/>
            <w:szCs w:val="20"/>
            <w:highlight w:val="white"/>
            <w:u w:val="single"/>
          </w:rPr>
          <w:t>SARAT - La Sauvegarde des Biens Archéologiques de Turquie, TURQUIE</w:t>
        </w:r>
      </w:hyperlink>
    </w:p>
    <w:p w:rsidR="003E607D" w:rsidRDefault="003E607D">
      <w:pPr>
        <w:rPr>
          <w:color w:val="000000"/>
          <w:sz w:val="20"/>
          <w:szCs w:val="20"/>
          <w:highlight w:val="white"/>
        </w:rPr>
      </w:pPr>
    </w:p>
    <w:p w:rsidR="003E607D" w:rsidRDefault="003E607D">
      <w:pPr>
        <w:rPr>
          <w:color w:val="000000"/>
          <w:sz w:val="20"/>
          <w:szCs w:val="20"/>
          <w:highlight w:val="white"/>
        </w:rPr>
      </w:pPr>
    </w:p>
    <w:p w:rsidR="003E607D" w:rsidRDefault="003E607D">
      <w:pPr>
        <w:spacing w:after="120"/>
        <w:rPr>
          <w:b/>
          <w:sz w:val="20"/>
          <w:szCs w:val="20"/>
          <w:highlight w:val="green"/>
        </w:rPr>
      </w:pPr>
      <w:bookmarkStart w:id="2" w:name="_heading=h.cyqa9xnrvtny" w:colFirst="0" w:colLast="0"/>
      <w:bookmarkEnd w:id="2"/>
    </w:p>
    <w:p w:rsidR="005F1F99" w:rsidRDefault="005F1F99">
      <w:pPr>
        <w:rPr>
          <w:b/>
        </w:rPr>
      </w:pPr>
      <w:bookmarkStart w:id="3" w:name="_heading=h.qox86pr04jw9" w:colFirst="0" w:colLast="0"/>
      <w:bookmarkEnd w:id="3"/>
      <w:r>
        <w:rPr>
          <w:b/>
        </w:rPr>
        <w:lastRenderedPageBreak/>
        <w:br w:type="page"/>
      </w:r>
    </w:p>
    <w:p w:rsidR="00C71202" w:rsidRDefault="00C71202">
      <w:pPr>
        <w:pBdr>
          <w:top w:val="nil"/>
          <w:left w:val="nil"/>
          <w:bottom w:val="nil"/>
          <w:right w:val="nil"/>
          <w:between w:val="nil"/>
        </w:pBdr>
        <w:spacing w:after="120"/>
        <w:rPr>
          <w:b/>
        </w:rPr>
      </w:pPr>
    </w:p>
    <w:p w:rsidR="00C71202" w:rsidRDefault="00C71202">
      <w:pPr>
        <w:pBdr>
          <w:top w:val="nil"/>
          <w:left w:val="nil"/>
          <w:bottom w:val="nil"/>
          <w:right w:val="nil"/>
          <w:between w:val="nil"/>
        </w:pBdr>
        <w:spacing w:after="120"/>
        <w:rPr>
          <w:b/>
        </w:rPr>
      </w:pPr>
    </w:p>
    <w:p w:rsidR="003E607D" w:rsidRDefault="00E355C4">
      <w:pPr>
        <w:pBdr>
          <w:top w:val="nil"/>
          <w:left w:val="nil"/>
          <w:bottom w:val="nil"/>
          <w:right w:val="nil"/>
          <w:between w:val="nil"/>
        </w:pBdr>
        <w:spacing w:after="120"/>
        <w:rPr>
          <w:b/>
        </w:rPr>
      </w:pPr>
      <w:r>
        <w:rPr>
          <w:b/>
        </w:rPr>
        <w:t>Le portique et la gloriette de Rubens</w:t>
      </w:r>
    </w:p>
    <w:p w:rsidR="003E607D" w:rsidRDefault="00E355C4" w:rsidP="00C71202">
      <w:pPr>
        <w:pBdr>
          <w:top w:val="nil"/>
          <w:left w:val="nil"/>
          <w:bottom w:val="nil"/>
          <w:right w:val="nil"/>
          <w:between w:val="nil"/>
        </w:pBdr>
        <w:spacing w:after="120"/>
        <w:jc w:val="both"/>
        <w:rPr>
          <w:sz w:val="20"/>
          <w:szCs w:val="20"/>
        </w:rPr>
      </w:pPr>
      <w:bookmarkStart w:id="4" w:name="_heading=h.1z5g5za8x5h4" w:colFirst="0" w:colLast="0"/>
      <w:bookmarkEnd w:id="4"/>
      <w:r>
        <w:rPr>
          <w:sz w:val="20"/>
          <w:szCs w:val="20"/>
        </w:rPr>
        <w:t xml:space="preserve">L’agencement de ce jardin fut dessiné et réalisé il y a 400 ans par le célèbre peintre et humaniste Pierre-Paul Rubens (1577-1640) dans sa maison d’Anvers. Élément remarquable de l’actuel Rubenshuis, il s’agit là de la seule partie du dessin original de Rubens qui nous soit parvenue, plus ou moins intacte. En raison de la pollution, des interventions inadéquates, d’infiltrations d’eau ainsi que de fissures structurelles, les différents types de pierre utilisés lors de sa construction étaient dans un état précaire. Compte tenu de l’importance de ces deux éléments patrimoniaux pour les générations futures, le projet de deux ans, achevé en 2019, a abouti à leur consolidation grâce aux recherches et à l’utilisation des plus récentes technologies en matière de conservation des pierres. Cette opération est le fruit d’une collaboration entre le Rubenshuis, le bureau d’architectes MAAT_WERK, l’Institut Royal du Patrimoine Artistique et la Ville d’Anvers, qui a </w:t>
      </w:r>
      <w:proofErr w:type="spellStart"/>
      <w:r>
        <w:rPr>
          <w:sz w:val="20"/>
          <w:szCs w:val="20"/>
        </w:rPr>
        <w:t>co-financé</w:t>
      </w:r>
      <w:proofErr w:type="spellEnd"/>
      <w:r>
        <w:rPr>
          <w:sz w:val="20"/>
          <w:szCs w:val="20"/>
        </w:rPr>
        <w:t xml:space="preserve"> le projet en partenariat avec l’Agence pour le Patrimoine Immobilier. L’historien de l’art et de l’architecture </w:t>
      </w:r>
      <w:proofErr w:type="spellStart"/>
      <w:r>
        <w:rPr>
          <w:sz w:val="20"/>
          <w:szCs w:val="20"/>
        </w:rPr>
        <w:t>Lode</w:t>
      </w:r>
      <w:proofErr w:type="spellEnd"/>
      <w:r>
        <w:rPr>
          <w:sz w:val="20"/>
          <w:szCs w:val="20"/>
        </w:rPr>
        <w:t xml:space="preserve"> de </w:t>
      </w:r>
      <w:proofErr w:type="spellStart"/>
      <w:r>
        <w:rPr>
          <w:sz w:val="20"/>
          <w:szCs w:val="20"/>
        </w:rPr>
        <w:t>Clercq</w:t>
      </w:r>
      <w:proofErr w:type="spellEnd"/>
      <w:r>
        <w:rPr>
          <w:sz w:val="20"/>
          <w:szCs w:val="20"/>
        </w:rPr>
        <w:t xml:space="preserve"> a contribué à son tour au projet de recherche.</w:t>
      </w:r>
    </w:p>
    <w:p w:rsidR="003E607D" w:rsidRDefault="00E355C4">
      <w:pPr>
        <w:pBdr>
          <w:top w:val="nil"/>
          <w:left w:val="nil"/>
          <w:bottom w:val="nil"/>
          <w:right w:val="nil"/>
          <w:between w:val="nil"/>
        </w:pBdr>
        <w:spacing w:after="120"/>
        <w:jc w:val="both"/>
        <w:rPr>
          <w:sz w:val="20"/>
          <w:szCs w:val="20"/>
        </w:rPr>
      </w:pPr>
      <w:r>
        <w:rPr>
          <w:sz w:val="20"/>
          <w:szCs w:val="20"/>
        </w:rPr>
        <w:t xml:space="preserve">L’ensemble du portique et de la gloriette s’inspire de l’architecture de la Rome antique et des œuvres des peintres-architectes italiens du 16 </w:t>
      </w:r>
      <w:proofErr w:type="spellStart"/>
      <w:r>
        <w:rPr>
          <w:sz w:val="20"/>
          <w:szCs w:val="20"/>
        </w:rPr>
        <w:t>ème</w:t>
      </w:r>
      <w:proofErr w:type="spellEnd"/>
      <w:r>
        <w:rPr>
          <w:sz w:val="20"/>
          <w:szCs w:val="20"/>
        </w:rPr>
        <w:t xml:space="preserve"> siècle, tels que Michel-Ange et Giulio Romano. Modèle annonciateur du baroque dans les anciens Pays-Bas, le portique apparaît de nombreuses fois dans les travaux de Rubens, comme dans ceux des illustres artistes flamands Antoine van Dyck et Jacob Jordaens. Le porche, sous la forme d’arc de triomphe, délimitait le passage au jardin tandis que la gloriette servait de point focal à celui-ci. Les sculptures qu’ils abritent correspondaient au concept iconographique de l’artiste et peintre érudit. À titre d’exemple, les statues de Mercure et de Minerve, placées </w:t>
      </w:r>
      <w:r w:rsidR="00C71202">
        <w:rPr>
          <w:sz w:val="20"/>
          <w:szCs w:val="20"/>
        </w:rPr>
        <w:t>au-dessus</w:t>
      </w:r>
      <w:r>
        <w:rPr>
          <w:sz w:val="20"/>
          <w:szCs w:val="20"/>
        </w:rPr>
        <w:t xml:space="preserve"> du portique, symbolisent l’art de la peinture, la connaissance et la sagesse.</w:t>
      </w:r>
    </w:p>
    <w:p w:rsidR="003E607D" w:rsidRDefault="00E355C4">
      <w:pPr>
        <w:pBdr>
          <w:top w:val="nil"/>
          <w:left w:val="nil"/>
          <w:bottom w:val="nil"/>
          <w:right w:val="nil"/>
          <w:between w:val="nil"/>
        </w:pBdr>
        <w:spacing w:after="120"/>
        <w:jc w:val="both"/>
        <w:rPr>
          <w:sz w:val="20"/>
          <w:szCs w:val="20"/>
        </w:rPr>
      </w:pPr>
      <w:r>
        <w:rPr>
          <w:sz w:val="20"/>
          <w:szCs w:val="20"/>
        </w:rPr>
        <w:t xml:space="preserve">Le fait que ces monuments aient survécu durant 400 ans témoigne de l’importance qui leur a toujours été accordée. Malgré cela, une intervention inadaptée au milieu du 20 </w:t>
      </w:r>
      <w:proofErr w:type="spellStart"/>
      <w:r>
        <w:rPr>
          <w:sz w:val="20"/>
          <w:szCs w:val="20"/>
        </w:rPr>
        <w:t>ème</w:t>
      </w:r>
      <w:proofErr w:type="spellEnd"/>
      <w:r>
        <w:rPr>
          <w:sz w:val="20"/>
          <w:szCs w:val="20"/>
        </w:rPr>
        <w:t xml:space="preserve"> siècle a conduit à leur déclin rapide, car des mesures radicales, comme la combustion des couches de peinture, ont été adoptées.</w:t>
      </w:r>
    </w:p>
    <w:p w:rsidR="003E607D" w:rsidRDefault="00E355C4">
      <w:pPr>
        <w:pBdr>
          <w:top w:val="nil"/>
          <w:left w:val="nil"/>
          <w:bottom w:val="nil"/>
          <w:right w:val="nil"/>
          <w:between w:val="nil"/>
        </w:pBdr>
        <w:spacing w:after="120"/>
        <w:jc w:val="both"/>
        <w:rPr>
          <w:sz w:val="20"/>
          <w:szCs w:val="20"/>
        </w:rPr>
      </w:pPr>
      <w:r>
        <w:rPr>
          <w:sz w:val="20"/>
          <w:szCs w:val="20"/>
        </w:rPr>
        <w:t>À cette époque, certaines dispositions ont été prises afin de protéger l’espace vert contre un dégât des eaux et de remédier à des dommages chimiques subis par la pierre au cours des années suivantes. Celles-ci ont inclus la construction d’une ‘toiture’ temporaire en bois au- dessus de la façade du portique. Cette toiture a été ensuite remplacée par une structure en verre et en acier soigneusement conçue, offrant une solution plus efficace, visuellement moins obstructive et purement conservatrice, afin de protéger l’œuvre des effets néfastes des éléments atmosphériques.</w:t>
      </w:r>
    </w:p>
    <w:p w:rsidR="003E607D" w:rsidRDefault="00E355C4" w:rsidP="005F1F99">
      <w:pPr>
        <w:pBdr>
          <w:top w:val="nil"/>
          <w:left w:val="nil"/>
          <w:bottom w:val="nil"/>
          <w:right w:val="nil"/>
          <w:between w:val="nil"/>
        </w:pBdr>
        <w:spacing w:after="120"/>
        <w:jc w:val="both"/>
        <w:rPr>
          <w:b/>
          <w:color w:val="000000"/>
        </w:rPr>
      </w:pPr>
      <w:r>
        <w:rPr>
          <w:sz w:val="20"/>
          <w:szCs w:val="20"/>
        </w:rPr>
        <w:t>Le jury a salué la ‘‘restauration minimale, impliquant des restaurateurs jeunes et expérimentés pour protéger l’emblématique et vulnérable maçonnerie du portique, sur base de recherches scientifiques menées pour définir les mesures de conservation les plus appropriées. Les restaurateurs ont également identifié la palette de couleurs d’origine de la gloriette. L’auvent en verre est conçu avec soin sur le porche, lui-même constitué d’objets physiques qui sont aussi présents dans les tableaux de Rubens, un artiste d’importance européenne et mondiale’’.</w:t>
      </w:r>
    </w:p>
    <w:p w:rsidR="005F1F99" w:rsidRDefault="005F1F99">
      <w:pPr>
        <w:pBdr>
          <w:top w:val="nil"/>
          <w:left w:val="nil"/>
          <w:bottom w:val="nil"/>
          <w:right w:val="nil"/>
          <w:between w:val="nil"/>
        </w:pBdr>
        <w:spacing w:after="120"/>
        <w:jc w:val="both"/>
        <w:rPr>
          <w:b/>
          <w:color w:val="000000"/>
        </w:rPr>
      </w:pPr>
    </w:p>
    <w:p w:rsidR="003E607D" w:rsidRDefault="00E355C4">
      <w:pPr>
        <w:pBdr>
          <w:top w:val="nil"/>
          <w:left w:val="nil"/>
          <w:bottom w:val="nil"/>
          <w:right w:val="nil"/>
          <w:between w:val="nil"/>
        </w:pBdr>
        <w:spacing w:after="120"/>
        <w:jc w:val="both"/>
        <w:rPr>
          <w:b/>
          <w:color w:val="000000"/>
        </w:rPr>
      </w:pPr>
      <w:r>
        <w:rPr>
          <w:b/>
          <w:color w:val="000000"/>
        </w:rPr>
        <w:t>Informations générales</w:t>
      </w:r>
    </w:p>
    <w:p w:rsidR="003E607D" w:rsidRDefault="00E355C4">
      <w:pPr>
        <w:jc w:val="both"/>
        <w:rPr>
          <w:rFonts w:ascii="Times New Roman" w:eastAsia="Times New Roman" w:hAnsi="Times New Roman" w:cs="Times New Roman"/>
          <w:sz w:val="24"/>
          <w:szCs w:val="24"/>
        </w:rPr>
      </w:pPr>
      <w:r>
        <w:rPr>
          <w:b/>
          <w:color w:val="000000"/>
        </w:rPr>
        <w:t xml:space="preserve">Prix européens du patrimoine / Prix Europa </w:t>
      </w:r>
      <w:proofErr w:type="spellStart"/>
      <w:r>
        <w:rPr>
          <w:b/>
          <w:color w:val="000000"/>
        </w:rPr>
        <w:t>Nostra</w:t>
      </w:r>
      <w:proofErr w:type="spellEnd"/>
      <w:r>
        <w:rPr>
          <w:b/>
          <w:color w:val="000000"/>
        </w:rPr>
        <w:t xml:space="preserve"> : quelques faits et chiffres</w:t>
      </w:r>
    </w:p>
    <w:p w:rsidR="003E607D" w:rsidRDefault="003E607D">
      <w:pPr>
        <w:jc w:val="both"/>
        <w:rPr>
          <w:rFonts w:ascii="Times New Roman" w:eastAsia="Times New Roman" w:hAnsi="Times New Roman" w:cs="Times New Roman"/>
          <w:sz w:val="24"/>
          <w:szCs w:val="24"/>
        </w:rPr>
      </w:pPr>
    </w:p>
    <w:p w:rsidR="003E607D" w:rsidRDefault="00E355C4">
      <w:pPr>
        <w:pBdr>
          <w:top w:val="nil"/>
          <w:left w:val="nil"/>
          <w:bottom w:val="nil"/>
          <w:right w:val="nil"/>
          <w:between w:val="nil"/>
        </w:pBdr>
        <w:jc w:val="both"/>
        <w:rPr>
          <w:color w:val="000000"/>
          <w:sz w:val="20"/>
          <w:szCs w:val="20"/>
        </w:rPr>
      </w:pPr>
      <w:r>
        <w:rPr>
          <w:color w:val="000000"/>
          <w:sz w:val="20"/>
          <w:szCs w:val="20"/>
        </w:rPr>
        <w:t xml:space="preserve">Les </w:t>
      </w:r>
      <w:hyperlink r:id="rId39">
        <w:r>
          <w:rPr>
            <w:color w:val="0000FF"/>
            <w:sz w:val="20"/>
            <w:szCs w:val="20"/>
            <w:u w:val="single"/>
          </w:rPr>
          <w:t>Prix européens</w:t>
        </w:r>
      </w:hyperlink>
      <w:r>
        <w:rPr>
          <w:color w:val="0000FF"/>
          <w:sz w:val="20"/>
          <w:szCs w:val="20"/>
          <w:u w:val="single"/>
        </w:rPr>
        <w:t xml:space="preserve"> du patrimoine / Prix Europa </w:t>
      </w:r>
      <w:proofErr w:type="spellStart"/>
      <w:r>
        <w:rPr>
          <w:color w:val="0000FF"/>
          <w:sz w:val="20"/>
          <w:szCs w:val="20"/>
          <w:u w:val="single"/>
        </w:rPr>
        <w:t>Nostra</w:t>
      </w:r>
      <w:proofErr w:type="spellEnd"/>
      <w:r>
        <w:rPr>
          <w:color w:val="000000"/>
          <w:sz w:val="20"/>
          <w:szCs w:val="20"/>
        </w:rPr>
        <w:t xml:space="preserve"> ont été lancés par la Commission européenne en 2002, et sont gérés depuis par Europa </w:t>
      </w:r>
      <w:proofErr w:type="spellStart"/>
      <w:r>
        <w:rPr>
          <w:color w:val="000000"/>
          <w:sz w:val="20"/>
          <w:szCs w:val="20"/>
        </w:rPr>
        <w:t>Nostra</w:t>
      </w:r>
      <w:proofErr w:type="spellEnd"/>
      <w:r>
        <w:rPr>
          <w:color w:val="000000"/>
          <w:sz w:val="20"/>
          <w:szCs w:val="20"/>
        </w:rPr>
        <w:t xml:space="preserve">. Ils glorifient et soutiennent les meilleures pratiques en matière de conservation du patrimoine, recherche, management, volontariat, éducation et communication. De cette façon, ils contribuent à une reconnaissance publique plus forte du patrimoine culturel comme ressource stratégique pour l’économie, la société et l’environnement en Europe. Les Prix bénéficient du soutien du programme </w:t>
      </w:r>
      <w:r>
        <w:rPr>
          <w:b/>
          <w:color w:val="000000"/>
          <w:sz w:val="20"/>
          <w:szCs w:val="20"/>
        </w:rPr>
        <w:t>Europe Créative</w:t>
      </w:r>
      <w:r>
        <w:rPr>
          <w:color w:val="000000"/>
          <w:sz w:val="20"/>
          <w:szCs w:val="20"/>
        </w:rPr>
        <w:t xml:space="preserve"> de l’Union européenne. </w:t>
      </w:r>
    </w:p>
    <w:p w:rsidR="003E607D" w:rsidRDefault="003E607D">
      <w:pPr>
        <w:pBdr>
          <w:top w:val="nil"/>
          <w:left w:val="nil"/>
          <w:bottom w:val="nil"/>
          <w:right w:val="nil"/>
          <w:between w:val="nil"/>
        </w:pBdr>
        <w:jc w:val="both"/>
        <w:rPr>
          <w:color w:val="000000"/>
          <w:sz w:val="20"/>
          <w:szCs w:val="20"/>
        </w:rPr>
      </w:pPr>
    </w:p>
    <w:p w:rsidR="003E607D" w:rsidRDefault="00E355C4">
      <w:pPr>
        <w:pBdr>
          <w:top w:val="nil"/>
          <w:left w:val="nil"/>
          <w:bottom w:val="nil"/>
          <w:right w:val="nil"/>
          <w:between w:val="nil"/>
        </w:pBdr>
        <w:jc w:val="both"/>
        <w:rPr>
          <w:color w:val="000000"/>
          <w:sz w:val="20"/>
          <w:szCs w:val="20"/>
        </w:rPr>
      </w:pPr>
      <w:r>
        <w:rPr>
          <w:color w:val="000000"/>
          <w:sz w:val="20"/>
          <w:szCs w:val="20"/>
        </w:rPr>
        <w:t xml:space="preserve">Les Prix européens du patrimoine / Prix Europa </w:t>
      </w:r>
      <w:proofErr w:type="spellStart"/>
      <w:r>
        <w:rPr>
          <w:color w:val="000000"/>
          <w:sz w:val="20"/>
          <w:szCs w:val="20"/>
        </w:rPr>
        <w:t>Nostra</w:t>
      </w:r>
      <w:proofErr w:type="spellEnd"/>
      <w:r>
        <w:rPr>
          <w:color w:val="000000"/>
          <w:sz w:val="20"/>
          <w:szCs w:val="20"/>
        </w:rPr>
        <w:t xml:space="preserve"> mettent en lumière et diffusent les meilleures pratiques, encouragent l’échange transfrontalier de connaissances et mettent en relation divers acteurs de réseaux plus vastes. Ils apportent des bénéfices majeurs aux lauréats, tels qu’une visibilité (inter)nationale plus large, des financements complémentaires et un nombre accru de visiteurs. En outre, les Prix encouragent les citoyens européens à prendre davantage soin de notre patrimoine commun. Les Prix se révèlent ainsi être un outil indispensable à la promotion du patrimoine en Europe.</w:t>
      </w:r>
      <w:r>
        <w:rPr>
          <w:color w:val="000000"/>
        </w:rPr>
        <w:t xml:space="preserve"> </w:t>
      </w:r>
      <w:r>
        <w:rPr>
          <w:color w:val="000000"/>
          <w:sz w:val="20"/>
          <w:szCs w:val="20"/>
        </w:rPr>
        <w:t>Les Prix sont donc un outil essentiel pour promouvoir les multiples valeurs du patrimoine culturel et naturel de l'Europe.</w:t>
      </w:r>
    </w:p>
    <w:p w:rsidR="003E607D" w:rsidRDefault="003E607D">
      <w:pPr>
        <w:ind w:right="57"/>
        <w:jc w:val="both"/>
        <w:rPr>
          <w:rFonts w:ascii="Times New Roman" w:eastAsia="Times New Roman" w:hAnsi="Times New Roman" w:cs="Times New Roman"/>
          <w:sz w:val="24"/>
          <w:szCs w:val="24"/>
        </w:rPr>
      </w:pPr>
    </w:p>
    <w:p w:rsidR="003E607D" w:rsidRDefault="00E355C4">
      <w:pPr>
        <w:pBdr>
          <w:top w:val="nil"/>
          <w:left w:val="nil"/>
          <w:bottom w:val="nil"/>
          <w:right w:val="nil"/>
          <w:between w:val="nil"/>
        </w:pBdr>
        <w:ind w:right="57"/>
        <w:jc w:val="both"/>
        <w:rPr>
          <w:color w:val="000000"/>
          <w:sz w:val="20"/>
          <w:szCs w:val="20"/>
        </w:rPr>
      </w:pPr>
      <w:r>
        <w:rPr>
          <w:color w:val="000000"/>
          <w:sz w:val="20"/>
          <w:szCs w:val="20"/>
        </w:rPr>
        <w:t xml:space="preserve">Ces 18 dernières années, des organisations et individus issus de </w:t>
      </w:r>
      <w:r>
        <w:rPr>
          <w:b/>
          <w:color w:val="000000"/>
          <w:sz w:val="20"/>
          <w:szCs w:val="20"/>
        </w:rPr>
        <w:t>39 pays</w:t>
      </w:r>
      <w:r>
        <w:rPr>
          <w:color w:val="000000"/>
          <w:sz w:val="20"/>
          <w:szCs w:val="20"/>
        </w:rPr>
        <w:t xml:space="preserve"> ont soumis un total de </w:t>
      </w:r>
      <w:r>
        <w:rPr>
          <w:b/>
          <w:color w:val="000000"/>
          <w:sz w:val="20"/>
          <w:szCs w:val="20"/>
        </w:rPr>
        <w:t>3150</w:t>
      </w:r>
      <w:r>
        <w:rPr>
          <w:color w:val="000000"/>
          <w:sz w:val="20"/>
          <w:szCs w:val="20"/>
        </w:rPr>
        <w:t xml:space="preserve"> </w:t>
      </w:r>
      <w:r>
        <w:rPr>
          <w:b/>
          <w:color w:val="000000"/>
          <w:sz w:val="20"/>
          <w:szCs w:val="20"/>
        </w:rPr>
        <w:t>candidatures</w:t>
      </w:r>
      <w:r>
        <w:rPr>
          <w:color w:val="000000"/>
          <w:sz w:val="20"/>
          <w:szCs w:val="20"/>
        </w:rPr>
        <w:t xml:space="preserve"> pour les Prix. En ce qui concerne le nombre de candidatures par </w:t>
      </w:r>
      <w:r>
        <w:rPr>
          <w:b/>
          <w:color w:val="000000"/>
          <w:sz w:val="20"/>
          <w:szCs w:val="20"/>
        </w:rPr>
        <w:t>pays</w:t>
      </w:r>
      <w:r>
        <w:rPr>
          <w:color w:val="000000"/>
          <w:sz w:val="20"/>
          <w:szCs w:val="20"/>
        </w:rPr>
        <w:t>, l’</w:t>
      </w:r>
      <w:r>
        <w:rPr>
          <w:b/>
          <w:color w:val="000000"/>
          <w:sz w:val="20"/>
          <w:szCs w:val="20"/>
        </w:rPr>
        <w:t>Espagne</w:t>
      </w:r>
      <w:r>
        <w:rPr>
          <w:color w:val="000000"/>
          <w:sz w:val="20"/>
          <w:szCs w:val="20"/>
        </w:rPr>
        <w:t xml:space="preserve"> est en tête du classement avec 542 candidatures, ensuite vient l’</w:t>
      </w:r>
      <w:r>
        <w:rPr>
          <w:b/>
          <w:color w:val="000000"/>
          <w:sz w:val="20"/>
          <w:szCs w:val="20"/>
        </w:rPr>
        <w:t>Italie</w:t>
      </w:r>
      <w:r>
        <w:rPr>
          <w:color w:val="000000"/>
          <w:sz w:val="20"/>
          <w:szCs w:val="20"/>
        </w:rPr>
        <w:t xml:space="preserve"> avec 318 candidatures, puis le </w:t>
      </w:r>
      <w:r>
        <w:rPr>
          <w:b/>
          <w:color w:val="000000"/>
          <w:sz w:val="20"/>
          <w:szCs w:val="20"/>
        </w:rPr>
        <w:t>Royaume-Uni</w:t>
      </w:r>
      <w:r>
        <w:rPr>
          <w:color w:val="000000"/>
          <w:sz w:val="20"/>
          <w:szCs w:val="20"/>
        </w:rPr>
        <w:t xml:space="preserve"> avec 308 candidatures. En ce qui concerne les </w:t>
      </w:r>
      <w:r>
        <w:rPr>
          <w:b/>
          <w:color w:val="000000"/>
          <w:sz w:val="20"/>
          <w:szCs w:val="20"/>
        </w:rPr>
        <w:t>catégories</w:t>
      </w:r>
      <w:r>
        <w:rPr>
          <w:color w:val="000000"/>
          <w:sz w:val="20"/>
          <w:szCs w:val="20"/>
        </w:rPr>
        <w:t xml:space="preserve">, c’est la Conservation qui a reçu le plus de candidatures (1794).  Viennent ensuite les catégories Education, Formation et Sensibilisation (601), puis Recherche (395), et enfin Contributions Exemplaires au patrimoine (360). </w:t>
      </w:r>
    </w:p>
    <w:p w:rsidR="003E607D" w:rsidRDefault="003E607D">
      <w:pPr>
        <w:ind w:right="57"/>
        <w:jc w:val="both"/>
        <w:rPr>
          <w:rFonts w:ascii="Times New Roman" w:eastAsia="Times New Roman" w:hAnsi="Times New Roman" w:cs="Times New Roman"/>
          <w:sz w:val="24"/>
          <w:szCs w:val="24"/>
        </w:rPr>
      </w:pPr>
    </w:p>
    <w:p w:rsidR="00C71202" w:rsidRDefault="00C71202">
      <w:pPr>
        <w:pBdr>
          <w:top w:val="nil"/>
          <w:left w:val="nil"/>
          <w:bottom w:val="nil"/>
          <w:right w:val="nil"/>
          <w:between w:val="nil"/>
        </w:pBdr>
        <w:ind w:right="57"/>
        <w:jc w:val="both"/>
        <w:rPr>
          <w:color w:val="000000"/>
          <w:sz w:val="20"/>
          <w:szCs w:val="20"/>
        </w:rPr>
      </w:pPr>
    </w:p>
    <w:p w:rsidR="003E607D" w:rsidRDefault="00E355C4">
      <w:pPr>
        <w:pBdr>
          <w:top w:val="nil"/>
          <w:left w:val="nil"/>
          <w:bottom w:val="nil"/>
          <w:right w:val="nil"/>
          <w:between w:val="nil"/>
        </w:pBdr>
        <w:ind w:right="57"/>
        <w:jc w:val="both"/>
        <w:rPr>
          <w:color w:val="000000"/>
          <w:sz w:val="20"/>
          <w:szCs w:val="20"/>
        </w:rPr>
      </w:pPr>
      <w:r>
        <w:rPr>
          <w:color w:val="000000"/>
          <w:sz w:val="20"/>
          <w:szCs w:val="20"/>
        </w:rPr>
        <w:t xml:space="preserve">Depuis 2002, des jurys composés d’experts indépendants ont sélectionné </w:t>
      </w:r>
      <w:r>
        <w:rPr>
          <w:b/>
          <w:color w:val="000000"/>
          <w:sz w:val="20"/>
          <w:szCs w:val="20"/>
        </w:rPr>
        <w:t>533 projets issus de 34 pays</w:t>
      </w:r>
      <w:r>
        <w:rPr>
          <w:color w:val="000000"/>
          <w:sz w:val="20"/>
          <w:szCs w:val="20"/>
        </w:rPr>
        <w:t xml:space="preserve"> pour recevoir un Prix. Conformément au nombre de candidatures, L’</w:t>
      </w:r>
      <w:r>
        <w:rPr>
          <w:b/>
          <w:color w:val="000000"/>
          <w:sz w:val="20"/>
          <w:szCs w:val="20"/>
        </w:rPr>
        <w:t>Espagne</w:t>
      </w:r>
      <w:r>
        <w:rPr>
          <w:color w:val="000000"/>
          <w:sz w:val="20"/>
          <w:szCs w:val="20"/>
        </w:rPr>
        <w:t xml:space="preserve"> reste en tête du classement avec 70 Prix reçus. Le </w:t>
      </w:r>
      <w:r>
        <w:rPr>
          <w:b/>
          <w:color w:val="000000"/>
          <w:sz w:val="20"/>
          <w:szCs w:val="20"/>
        </w:rPr>
        <w:t>Royaume-Uni</w:t>
      </w:r>
      <w:r>
        <w:rPr>
          <w:color w:val="000000"/>
          <w:sz w:val="20"/>
          <w:szCs w:val="20"/>
        </w:rPr>
        <w:t xml:space="preserve"> est en seconde position (62 Prix) et l’</w:t>
      </w:r>
      <w:r>
        <w:rPr>
          <w:b/>
          <w:color w:val="000000"/>
          <w:sz w:val="20"/>
          <w:szCs w:val="20"/>
        </w:rPr>
        <w:t>Italie</w:t>
      </w:r>
      <w:r>
        <w:rPr>
          <w:color w:val="000000"/>
          <w:sz w:val="20"/>
          <w:szCs w:val="20"/>
        </w:rPr>
        <w:t xml:space="preserve"> est troisième (47 Prix). Quant aux </w:t>
      </w:r>
      <w:r>
        <w:rPr>
          <w:b/>
          <w:color w:val="000000"/>
          <w:sz w:val="20"/>
          <w:szCs w:val="20"/>
        </w:rPr>
        <w:t>catégories</w:t>
      </w:r>
      <w:r>
        <w:rPr>
          <w:color w:val="000000"/>
          <w:sz w:val="20"/>
          <w:szCs w:val="20"/>
        </w:rPr>
        <w:t xml:space="preserve">, c’est la Conservation qui a le plus de lauréats (300), suivie par l’Education, Formation et Sensibilisation (89), les Contributions Exemplaires au patrimoine (78) et, enfin, la Recherche (66). </w:t>
      </w:r>
    </w:p>
    <w:p w:rsidR="003E607D" w:rsidRDefault="003E607D">
      <w:pPr>
        <w:jc w:val="both"/>
        <w:rPr>
          <w:color w:val="000000"/>
          <w:sz w:val="20"/>
          <w:szCs w:val="20"/>
        </w:rPr>
      </w:pPr>
    </w:p>
    <w:p w:rsidR="003E607D" w:rsidRDefault="00E355C4" w:rsidP="005F1F99">
      <w:pPr>
        <w:pBdr>
          <w:top w:val="nil"/>
          <w:left w:val="nil"/>
          <w:bottom w:val="nil"/>
          <w:right w:val="nil"/>
          <w:between w:val="nil"/>
        </w:pBdr>
        <w:ind w:right="57"/>
        <w:jc w:val="both"/>
        <w:rPr>
          <w:color w:val="000000"/>
          <w:sz w:val="20"/>
          <w:szCs w:val="20"/>
        </w:rPr>
      </w:pPr>
      <w:r>
        <w:rPr>
          <w:color w:val="000000"/>
          <w:sz w:val="20"/>
          <w:szCs w:val="20"/>
        </w:rPr>
        <w:t xml:space="preserve">Un total de </w:t>
      </w:r>
      <w:r>
        <w:rPr>
          <w:b/>
          <w:color w:val="000000"/>
          <w:sz w:val="20"/>
          <w:szCs w:val="20"/>
        </w:rPr>
        <w:t>123 Grand Prix</w:t>
      </w:r>
      <w:r>
        <w:rPr>
          <w:color w:val="000000"/>
          <w:sz w:val="20"/>
          <w:szCs w:val="20"/>
        </w:rPr>
        <w:t xml:space="preserve"> d’une valeur de 10 000€ ont été décernés à des initiatives patrimoniales remarquables sélectionnées parmi les projets lauréats. </w:t>
      </w:r>
    </w:p>
    <w:p w:rsidR="003E607D" w:rsidRDefault="003E607D">
      <w:pPr>
        <w:jc w:val="both"/>
        <w:rPr>
          <w:b/>
          <w:color w:val="000000"/>
          <w:sz w:val="20"/>
          <w:szCs w:val="20"/>
        </w:rPr>
      </w:pPr>
    </w:p>
    <w:p w:rsidR="003E607D" w:rsidRDefault="00E355C4">
      <w:pPr>
        <w:jc w:val="both"/>
        <w:rPr>
          <w:b/>
          <w:color w:val="000000"/>
          <w:sz w:val="20"/>
          <w:szCs w:val="20"/>
        </w:rPr>
      </w:pPr>
      <w:r>
        <w:rPr>
          <w:b/>
          <w:color w:val="000000"/>
          <w:sz w:val="20"/>
          <w:szCs w:val="20"/>
        </w:rPr>
        <w:t xml:space="preserve">L’appel à candidatures pour l’édition 2021 des Prix est désormais lancé et les formulaires de candidature sont disponibles sur le </w:t>
      </w:r>
      <w:hyperlink r:id="rId40">
        <w:r>
          <w:rPr>
            <w:b/>
            <w:color w:val="0000FF"/>
            <w:sz w:val="20"/>
            <w:szCs w:val="20"/>
            <w:u w:val="single"/>
          </w:rPr>
          <w:t>site internet</w:t>
        </w:r>
      </w:hyperlink>
      <w:r>
        <w:rPr>
          <w:b/>
          <w:color w:val="000000"/>
          <w:sz w:val="20"/>
          <w:szCs w:val="20"/>
        </w:rPr>
        <w:t xml:space="preserve"> des Prix. Soumettez votre projet exemplaire et partagez votre expertise et succès !</w:t>
      </w:r>
    </w:p>
    <w:p w:rsidR="003E607D" w:rsidRDefault="003E607D">
      <w:pPr>
        <w:jc w:val="both"/>
        <w:rPr>
          <w:color w:val="000000"/>
          <w:sz w:val="20"/>
          <w:szCs w:val="20"/>
        </w:rPr>
      </w:pPr>
    </w:p>
    <w:p w:rsidR="003E607D" w:rsidRDefault="003E607D">
      <w:pPr>
        <w:jc w:val="both"/>
        <w:rPr>
          <w:color w:val="000000"/>
          <w:sz w:val="20"/>
          <w:szCs w:val="20"/>
        </w:rPr>
      </w:pPr>
    </w:p>
    <w:p w:rsidR="003E607D" w:rsidRDefault="00E355C4" w:rsidP="005F1F99">
      <w:pPr>
        <w:jc w:val="both"/>
        <w:rPr>
          <w:b/>
          <w:color w:val="000000"/>
        </w:rPr>
      </w:pPr>
      <w:r>
        <w:rPr>
          <w:b/>
          <w:color w:val="000000"/>
        </w:rPr>
        <w:t xml:space="preserve">Europa </w:t>
      </w:r>
      <w:proofErr w:type="spellStart"/>
      <w:r>
        <w:rPr>
          <w:b/>
          <w:color w:val="000000"/>
        </w:rPr>
        <w:t>Nostra</w:t>
      </w:r>
      <w:proofErr w:type="spellEnd"/>
    </w:p>
    <w:p w:rsidR="00C71202" w:rsidRPr="005F1F99" w:rsidRDefault="00C71202" w:rsidP="005F1F99">
      <w:pPr>
        <w:jc w:val="both"/>
        <w:rPr>
          <w:color w:val="000000"/>
        </w:rPr>
      </w:pPr>
    </w:p>
    <w:p w:rsidR="003E607D" w:rsidRDefault="005F2E1B">
      <w:pPr>
        <w:jc w:val="both"/>
        <w:rPr>
          <w:color w:val="000000"/>
          <w:sz w:val="20"/>
          <w:szCs w:val="20"/>
        </w:rPr>
      </w:pPr>
      <w:hyperlink r:id="rId41">
        <w:r w:rsidR="00E355C4">
          <w:rPr>
            <w:color w:val="0000FF"/>
            <w:sz w:val="20"/>
            <w:szCs w:val="20"/>
            <w:u w:val="single"/>
          </w:rPr>
          <w:t xml:space="preserve">Europa </w:t>
        </w:r>
        <w:proofErr w:type="spellStart"/>
        <w:r w:rsidR="00E355C4">
          <w:rPr>
            <w:color w:val="0000FF"/>
            <w:sz w:val="20"/>
            <w:szCs w:val="20"/>
            <w:u w:val="single"/>
          </w:rPr>
          <w:t>Nostra</w:t>
        </w:r>
        <w:proofErr w:type="spellEnd"/>
      </w:hyperlink>
      <w:r w:rsidR="00E355C4">
        <w:rPr>
          <w:color w:val="000000"/>
          <w:sz w:val="20"/>
          <w:szCs w:val="20"/>
        </w:rPr>
        <w:t xml:space="preserve"> est la Voix européenne de la société civile engagée en faveur de la sauvegarde et de la promotion du patrimoine culturel et naturel. Cette fédération paneuropéenne d'organisations du patrimoine, soutenue par un vaste réseau d'organismes publics, d'entreprises privées et de particuliers, couvre plus de 40 pays. Fondée en 1963, elle est aujourd'hui reconnue comme le réseau du patrimoine le plus important et le plus représentatif d'Europe.</w:t>
      </w:r>
    </w:p>
    <w:p w:rsidR="003E607D" w:rsidRDefault="00E355C4">
      <w:pPr>
        <w:jc w:val="both"/>
        <w:rPr>
          <w:color w:val="000000"/>
          <w:sz w:val="20"/>
          <w:szCs w:val="20"/>
        </w:rPr>
      </w:pPr>
      <w:bookmarkStart w:id="5" w:name="_heading=h.1fob9te" w:colFirst="0" w:colLast="0"/>
      <w:bookmarkEnd w:id="5"/>
      <w:r>
        <w:rPr>
          <w:color w:val="000000"/>
          <w:sz w:val="20"/>
          <w:szCs w:val="20"/>
        </w:rPr>
        <w:t xml:space="preserve">Europa </w:t>
      </w:r>
      <w:proofErr w:type="spellStart"/>
      <w:r>
        <w:rPr>
          <w:color w:val="000000"/>
          <w:sz w:val="20"/>
          <w:szCs w:val="20"/>
        </w:rPr>
        <w:t>Nostra</w:t>
      </w:r>
      <w:proofErr w:type="spellEnd"/>
      <w:r>
        <w:rPr>
          <w:color w:val="000000"/>
          <w:sz w:val="20"/>
          <w:szCs w:val="20"/>
        </w:rPr>
        <w:t xml:space="preserve"> mène des campagnes pour sauver les monuments, sites et paysages européens menacés, notamment par le biais du programme des “</w:t>
      </w:r>
      <w:hyperlink r:id="rId42">
        <w:r>
          <w:rPr>
            <w:color w:val="0000FF"/>
            <w:sz w:val="20"/>
            <w:szCs w:val="20"/>
            <w:u w:val="single"/>
          </w:rPr>
          <w:t>7 merveilles d’Europe en péril</w:t>
        </w:r>
      </w:hyperlink>
      <w:r>
        <w:rPr>
          <w:color w:val="000000"/>
          <w:sz w:val="20"/>
          <w:szCs w:val="20"/>
        </w:rPr>
        <w:t xml:space="preserve">”. L’organisation célèbre l'excellence à travers les </w:t>
      </w:r>
      <w:hyperlink r:id="rId43">
        <w:r>
          <w:rPr>
            <w:color w:val="0000FF"/>
            <w:sz w:val="20"/>
            <w:szCs w:val="20"/>
            <w:u w:val="single"/>
          </w:rPr>
          <w:t xml:space="preserve">Prix européens du patrimoine / Prix Europa </w:t>
        </w:r>
        <w:proofErr w:type="spellStart"/>
        <w:r>
          <w:rPr>
            <w:color w:val="0000FF"/>
            <w:sz w:val="20"/>
            <w:szCs w:val="20"/>
            <w:u w:val="single"/>
          </w:rPr>
          <w:t>Nostra</w:t>
        </w:r>
        <w:proofErr w:type="spellEnd"/>
      </w:hyperlink>
      <w:r>
        <w:rPr>
          <w:color w:val="000000"/>
          <w:sz w:val="20"/>
          <w:szCs w:val="20"/>
        </w:rPr>
        <w:t xml:space="preserve">. Europa </w:t>
      </w:r>
      <w:proofErr w:type="spellStart"/>
      <w:r>
        <w:rPr>
          <w:color w:val="000000"/>
          <w:sz w:val="20"/>
          <w:szCs w:val="20"/>
        </w:rPr>
        <w:t>Nostra</w:t>
      </w:r>
      <w:proofErr w:type="spellEnd"/>
      <w:r>
        <w:rPr>
          <w:color w:val="000000"/>
          <w:sz w:val="20"/>
          <w:szCs w:val="20"/>
        </w:rPr>
        <w:t xml:space="preserve"> contribue activement à la définition et à la mise en œuvre des stratégies et politiques européennes relatives au patrimoine, par un dialogue participatif avec les institutions européennes et la coordination de </w:t>
      </w:r>
      <w:hyperlink r:id="rId44">
        <w:r>
          <w:rPr>
            <w:color w:val="0000FF"/>
            <w:sz w:val="20"/>
            <w:szCs w:val="20"/>
            <w:u w:val="single"/>
          </w:rPr>
          <w:t>l'Alliance européenne du patrimoine 3.3</w:t>
        </w:r>
      </w:hyperlink>
      <w:r>
        <w:rPr>
          <w:color w:val="000000"/>
          <w:sz w:val="20"/>
          <w:szCs w:val="20"/>
        </w:rPr>
        <w:t xml:space="preserve">. Europa </w:t>
      </w:r>
      <w:proofErr w:type="spellStart"/>
      <w:r>
        <w:rPr>
          <w:color w:val="000000"/>
          <w:sz w:val="20"/>
          <w:szCs w:val="20"/>
        </w:rPr>
        <w:t>Nostra</w:t>
      </w:r>
      <w:proofErr w:type="spellEnd"/>
      <w:r>
        <w:rPr>
          <w:color w:val="000000"/>
          <w:sz w:val="20"/>
          <w:szCs w:val="20"/>
        </w:rPr>
        <w:t xml:space="preserve"> a été l'un des instigateurs, et un partenaire important de la société civile, de </w:t>
      </w:r>
      <w:hyperlink r:id="rId45">
        <w:r>
          <w:rPr>
            <w:color w:val="0000FF"/>
            <w:sz w:val="20"/>
            <w:szCs w:val="20"/>
            <w:u w:val="single"/>
          </w:rPr>
          <w:t>l'Année européenne du patrimoine culturel</w:t>
        </w:r>
      </w:hyperlink>
      <w:r>
        <w:rPr>
          <w:color w:val="000000"/>
          <w:sz w:val="20"/>
          <w:szCs w:val="20"/>
        </w:rPr>
        <w:t xml:space="preserve"> 2018.</w:t>
      </w:r>
    </w:p>
    <w:p w:rsidR="003E607D" w:rsidRDefault="003E607D">
      <w:pPr>
        <w:jc w:val="both"/>
        <w:rPr>
          <w:color w:val="000000"/>
          <w:sz w:val="20"/>
          <w:szCs w:val="20"/>
        </w:rPr>
      </w:pPr>
    </w:p>
    <w:p w:rsidR="003E607D" w:rsidRDefault="003E607D">
      <w:pPr>
        <w:jc w:val="both"/>
        <w:rPr>
          <w:color w:val="000000"/>
          <w:sz w:val="20"/>
          <w:szCs w:val="20"/>
        </w:rPr>
      </w:pPr>
    </w:p>
    <w:p w:rsidR="003E607D" w:rsidRDefault="00E355C4" w:rsidP="005F1F99">
      <w:pPr>
        <w:jc w:val="both"/>
        <w:rPr>
          <w:b/>
          <w:color w:val="000000"/>
        </w:rPr>
      </w:pPr>
      <w:r>
        <w:rPr>
          <w:b/>
          <w:color w:val="000000"/>
        </w:rPr>
        <w:t>Europe Créative</w:t>
      </w:r>
    </w:p>
    <w:p w:rsidR="00C71202" w:rsidRPr="005F1F99" w:rsidRDefault="00C71202" w:rsidP="005F1F99">
      <w:pPr>
        <w:jc w:val="both"/>
        <w:rPr>
          <w:color w:val="000000"/>
        </w:rPr>
      </w:pPr>
    </w:p>
    <w:p w:rsidR="003E607D" w:rsidRDefault="005F2E1B">
      <w:pPr>
        <w:pBdr>
          <w:top w:val="nil"/>
          <w:left w:val="nil"/>
          <w:bottom w:val="nil"/>
          <w:right w:val="nil"/>
          <w:between w:val="nil"/>
        </w:pBdr>
        <w:jc w:val="both"/>
        <w:rPr>
          <w:color w:val="000000"/>
          <w:sz w:val="20"/>
          <w:szCs w:val="20"/>
        </w:rPr>
      </w:pPr>
      <w:hyperlink r:id="rId46">
        <w:r w:rsidR="00E355C4">
          <w:rPr>
            <w:color w:val="0000FF"/>
            <w:sz w:val="20"/>
            <w:szCs w:val="20"/>
            <w:u w:val="single"/>
          </w:rPr>
          <w:t>Europe créative</w:t>
        </w:r>
      </w:hyperlink>
      <w:r w:rsidR="00E355C4">
        <w:rPr>
          <w:color w:val="000000"/>
          <w:sz w:val="20"/>
          <w:szCs w:val="20"/>
        </w:rPr>
        <w:t xml:space="preserve"> est le programme de l’UE qui soutient les secteurs de la culture et de la création, en leur permettant d’accroître leur contribution à la croissance et à l’emploi. Avec un budget de 1,46 milliard d’euros pour la période 2014-2020, ce programme soutient des organisations dans les domaines du patrimoine, des arts du spectacle, des beaux-arts, des arts interdisciplinaires, de l’édition, du cinéma, de la télévision, de la musique et des jeux vidéo, ainsi que des dizaines de milliers d'artistes, de professionnels de la culture et de l'audiovisuel. Ce financement leur permet d'opérer dans toute l'Europe, de toucher de nouveaux publics et de développer les compétences requises à l'ère numérique.</w:t>
      </w:r>
    </w:p>
    <w:p w:rsidR="003E607D" w:rsidRDefault="003E607D">
      <w:pPr>
        <w:pBdr>
          <w:top w:val="nil"/>
          <w:left w:val="nil"/>
          <w:bottom w:val="nil"/>
          <w:right w:val="nil"/>
          <w:between w:val="nil"/>
        </w:pBdr>
        <w:jc w:val="both"/>
        <w:rPr>
          <w:color w:val="000000"/>
          <w:sz w:val="20"/>
          <w:szCs w:val="20"/>
        </w:rPr>
      </w:pPr>
    </w:p>
    <w:p w:rsidR="003E607D" w:rsidRDefault="003E607D">
      <w:pPr>
        <w:pBdr>
          <w:top w:val="nil"/>
          <w:left w:val="nil"/>
          <w:bottom w:val="nil"/>
          <w:right w:val="nil"/>
          <w:between w:val="nil"/>
        </w:pBdr>
        <w:jc w:val="both"/>
        <w:rPr>
          <w:color w:val="000000"/>
          <w:sz w:val="20"/>
          <w:szCs w:val="20"/>
        </w:rPr>
      </w:pPr>
    </w:p>
    <w:sectPr w:rsidR="003E607D">
      <w:footerReference w:type="default" r:id="rId47"/>
      <w:pgSz w:w="11907" w:h="16840"/>
      <w:pgMar w:top="284" w:right="1008" w:bottom="851"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1B" w:rsidRDefault="005F2E1B">
      <w:r>
        <w:separator/>
      </w:r>
    </w:p>
  </w:endnote>
  <w:endnote w:type="continuationSeparator" w:id="0">
    <w:p w:rsidR="005F2E1B" w:rsidRDefault="005F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7D" w:rsidRDefault="003E607D">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1B" w:rsidRDefault="005F2E1B">
      <w:r>
        <w:separator/>
      </w:r>
    </w:p>
  </w:footnote>
  <w:footnote w:type="continuationSeparator" w:id="0">
    <w:p w:rsidR="005F2E1B" w:rsidRDefault="005F2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07D"/>
    <w:rsid w:val="00104C77"/>
    <w:rsid w:val="003E607D"/>
    <w:rsid w:val="0041094F"/>
    <w:rsid w:val="00547EB4"/>
    <w:rsid w:val="005F1F99"/>
    <w:rsid w:val="005F2E1B"/>
    <w:rsid w:val="00C71202"/>
    <w:rsid w:val="00C9001A"/>
    <w:rsid w:val="00E355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en-GB"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uiPriority w:val="9"/>
    <w:qFormat/>
    <w:pPr>
      <w:keepNext/>
      <w:spacing w:before="240" w:after="240"/>
      <w:outlineLvl w:val="0"/>
    </w:pPr>
    <w:rPr>
      <w:b/>
      <w:sz w:val="32"/>
      <w:szCs w:val="32"/>
    </w:rPr>
  </w:style>
  <w:style w:type="paragraph" w:styleId="Kop2">
    <w:name w:val="heading 2"/>
    <w:basedOn w:val="Standaard"/>
    <w:next w:val="Standaard"/>
    <w:uiPriority w:val="9"/>
    <w:semiHidden/>
    <w:unhideWhenUsed/>
    <w:qFormat/>
    <w:pPr>
      <w:keepNext/>
      <w:spacing w:before="240" w:after="60"/>
      <w:outlineLvl w:val="1"/>
    </w:pPr>
    <w:rPr>
      <w:rFonts w:ascii="Cambria" w:eastAsia="Cambria" w:hAnsi="Cambria" w:cs="Cambria"/>
      <w:b/>
      <w:i/>
      <w:sz w:val="28"/>
      <w:szCs w:val="28"/>
    </w:rPr>
  </w:style>
  <w:style w:type="paragraph" w:styleId="Kop3">
    <w:name w:val="heading 3"/>
    <w:basedOn w:val="Standaard"/>
    <w:next w:val="Standaard"/>
    <w:uiPriority w:val="9"/>
    <w:semiHidden/>
    <w:unhideWhenUsed/>
    <w:qFormat/>
    <w:pPr>
      <w:keepNext/>
      <w:spacing w:before="240" w:after="60"/>
      <w:outlineLvl w:val="2"/>
    </w:pPr>
    <w:rPr>
      <w:b/>
      <w:sz w:val="26"/>
      <w:szCs w:val="26"/>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115" w:type="dxa"/>
        <w:right w:w="115" w:type="dxa"/>
      </w:tblCellMar>
    </w:tblPr>
  </w:style>
  <w:style w:type="table" w:customStyle="1" w:styleId="a0">
    <w:basedOn w:val="Standaardtabel"/>
    <w:tblPr>
      <w:tblStyleRowBandSize w:val="1"/>
      <w:tblStyleColBandSize w:val="1"/>
      <w:tblCellMar>
        <w:left w:w="115" w:type="dxa"/>
        <w:right w:w="115" w:type="dxa"/>
      </w:tblCellMar>
    </w:tbl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F5592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592D"/>
    <w:rPr>
      <w:rFonts w:ascii="Segoe UI" w:hAnsi="Segoe UI" w:cs="Segoe UI"/>
      <w:sz w:val="18"/>
      <w:szCs w:val="18"/>
    </w:rPr>
  </w:style>
  <w:style w:type="paragraph" w:styleId="Normaalweb">
    <w:name w:val="Normal (Web)"/>
    <w:basedOn w:val="Standaard"/>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Standaardalinea-lettertype"/>
    <w:uiPriority w:val="99"/>
    <w:unhideWhenUsed/>
    <w:rsid w:val="008D27EE"/>
    <w:rPr>
      <w:color w:val="0000FF"/>
      <w:u w:val="single"/>
    </w:rPr>
  </w:style>
  <w:style w:type="paragraph" w:styleId="Lijstalinea">
    <w:name w:val="List Paragraph"/>
    <w:basedOn w:val="Standaard"/>
    <w:uiPriority w:val="34"/>
    <w:qFormat/>
    <w:rsid w:val="004D022D"/>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4D022D"/>
    <w:rPr>
      <w:b/>
      <w:bCs/>
    </w:rPr>
  </w:style>
  <w:style w:type="character" w:customStyle="1" w:styleId="OnderwerpvanopmerkingChar">
    <w:name w:val="Onderwerp van opmerking Char"/>
    <w:basedOn w:val="TekstopmerkingChar"/>
    <w:link w:val="Onderwerpvanopmerking"/>
    <w:uiPriority w:val="99"/>
    <w:semiHidden/>
    <w:rsid w:val="004D022D"/>
    <w:rPr>
      <w:b/>
      <w:bCs/>
      <w:sz w:val="20"/>
      <w:szCs w:val="20"/>
    </w:rPr>
  </w:style>
  <w:style w:type="character" w:styleId="GevolgdeHyperlink">
    <w:name w:val="FollowedHyperlink"/>
    <w:basedOn w:val="Standaardalinea-lettertype"/>
    <w:uiPriority w:val="99"/>
    <w:semiHidden/>
    <w:unhideWhenUsed/>
    <w:rsid w:val="000C009C"/>
    <w:rPr>
      <w:color w:val="800080" w:themeColor="followedHyperlink"/>
      <w:u w:val="single"/>
    </w:rPr>
  </w:style>
  <w:style w:type="paragraph" w:styleId="Revisie">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paragraph" w:customStyle="1" w:styleId="5Normal">
    <w:name w:val="5 Normal"/>
    <w:link w:val="5NormalChar"/>
    <w:rsid w:val="000B2865"/>
    <w:pPr>
      <w:suppressAutoHyphens/>
      <w:spacing w:after="120"/>
    </w:pPr>
    <w:rPr>
      <w:rFonts w:eastAsia="Times New Roman" w:cs="Times New Roman"/>
      <w:spacing w:val="-2"/>
      <w:szCs w:val="20"/>
    </w:rPr>
  </w:style>
  <w:style w:type="character" w:customStyle="1" w:styleId="5NormalChar">
    <w:name w:val="5 Normal Char"/>
    <w:link w:val="5Normal"/>
    <w:rsid w:val="000B2865"/>
    <w:rPr>
      <w:rFonts w:eastAsia="Times New Roman" w:cs="Times New Roman"/>
      <w:spacing w:val="-2"/>
      <w:szCs w:val="20"/>
      <w:lang w:eastAsia="en-GB"/>
    </w:rPr>
  </w:style>
  <w:style w:type="table" w:customStyle="1" w:styleId="a1">
    <w:basedOn w:val="Standaardtabel"/>
    <w:tblPr>
      <w:tblStyleRowBandSize w:val="1"/>
      <w:tblStyleColBandSize w:val="1"/>
      <w:tblCellMar>
        <w:left w:w="115" w:type="dxa"/>
        <w:right w:w="115" w:type="dxa"/>
      </w:tblCellMar>
    </w:tblPr>
  </w:style>
  <w:style w:type="table" w:customStyle="1" w:styleId="a2">
    <w:basedOn w:val="Standaardtabel"/>
    <w:tblPr>
      <w:tblStyleRowBandSize w:val="1"/>
      <w:tblStyleColBandSize w:val="1"/>
      <w:tblCellMar>
        <w:left w:w="115" w:type="dxa"/>
        <w:right w:w="115" w:type="dxa"/>
      </w:tblCellMar>
    </w:tblPr>
  </w:style>
  <w:style w:type="table" w:customStyle="1" w:styleId="a3">
    <w:basedOn w:val="Standaardtabel"/>
    <w:tblPr>
      <w:tblStyleRowBandSize w:val="1"/>
      <w:tblStyleColBandSize w:val="1"/>
      <w:tblCellMar>
        <w:left w:w="115" w:type="dxa"/>
        <w:right w:w="115" w:type="dxa"/>
      </w:tblCellMar>
    </w:tblPr>
  </w:style>
  <w:style w:type="table" w:customStyle="1" w:styleId="a4">
    <w:basedOn w:val="Standaardtabel"/>
    <w:tblPr>
      <w:tblStyleRowBandSize w:val="1"/>
      <w:tblStyleColBandSize w:val="1"/>
      <w:tblCellMar>
        <w:left w:w="115" w:type="dxa"/>
        <w:right w:w="115" w:type="dxa"/>
      </w:tblCellMar>
    </w:tblPr>
  </w:style>
  <w:style w:type="character" w:customStyle="1" w:styleId="UnresolvedMention">
    <w:name w:val="Unresolved Mention"/>
    <w:basedOn w:val="Standaardalinea-lettertype"/>
    <w:uiPriority w:val="99"/>
    <w:semiHidden/>
    <w:unhideWhenUsed/>
    <w:rsid w:val="00031093"/>
    <w:rPr>
      <w:color w:val="605E5C"/>
      <w:shd w:val="clear" w:color="auto" w:fill="E1DFDD"/>
    </w:rPr>
  </w:style>
  <w:style w:type="paragraph" w:customStyle="1" w:styleId="Normal1">
    <w:name w:val="Normal1"/>
    <w:rsid w:val="00E226D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76" w:lineRule="auto"/>
    </w:pPr>
    <w:rPr>
      <w:lang w:val="en-US" w:eastAsia="en-US"/>
    </w:rPr>
  </w:style>
  <w:style w:type="table" w:customStyle="1" w:styleId="a5">
    <w:basedOn w:val="Standaardtabel"/>
    <w:tblPr>
      <w:tblStyleRowBandSize w:val="1"/>
      <w:tblStyleColBandSize w:val="1"/>
      <w:tblCellMar>
        <w:left w:w="115" w:type="dxa"/>
        <w:right w:w="115" w:type="dxa"/>
      </w:tblCellMar>
    </w:tblPr>
  </w:style>
  <w:style w:type="table" w:customStyle="1" w:styleId="a6">
    <w:basedOn w:val="Standaardtabel"/>
    <w:tblPr>
      <w:tblStyleRowBandSize w:val="1"/>
      <w:tblStyleColBandSize w:val="1"/>
      <w:tblCellMar>
        <w:left w:w="115" w:type="dxa"/>
        <w:right w:w="115" w:type="dxa"/>
      </w:tblCellMar>
    </w:tblPr>
  </w:style>
  <w:style w:type="table" w:customStyle="1" w:styleId="a7">
    <w:basedOn w:val="Standaardtabel"/>
    <w:tblPr>
      <w:tblStyleRowBandSize w:val="1"/>
      <w:tblStyleColBandSize w:val="1"/>
      <w:tblCellMar>
        <w:left w:w="115" w:type="dxa"/>
        <w:right w:w="115" w:type="dxa"/>
      </w:tblCellMar>
    </w:tblPr>
  </w:style>
  <w:style w:type="table" w:customStyle="1" w:styleId="a8">
    <w:basedOn w:val="Standaardtabe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en-GB"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uiPriority w:val="9"/>
    <w:qFormat/>
    <w:pPr>
      <w:keepNext/>
      <w:spacing w:before="240" w:after="240"/>
      <w:outlineLvl w:val="0"/>
    </w:pPr>
    <w:rPr>
      <w:b/>
      <w:sz w:val="32"/>
      <w:szCs w:val="32"/>
    </w:rPr>
  </w:style>
  <w:style w:type="paragraph" w:styleId="Kop2">
    <w:name w:val="heading 2"/>
    <w:basedOn w:val="Standaard"/>
    <w:next w:val="Standaard"/>
    <w:uiPriority w:val="9"/>
    <w:semiHidden/>
    <w:unhideWhenUsed/>
    <w:qFormat/>
    <w:pPr>
      <w:keepNext/>
      <w:spacing w:before="240" w:after="60"/>
      <w:outlineLvl w:val="1"/>
    </w:pPr>
    <w:rPr>
      <w:rFonts w:ascii="Cambria" w:eastAsia="Cambria" w:hAnsi="Cambria" w:cs="Cambria"/>
      <w:b/>
      <w:i/>
      <w:sz w:val="28"/>
      <w:szCs w:val="28"/>
    </w:rPr>
  </w:style>
  <w:style w:type="paragraph" w:styleId="Kop3">
    <w:name w:val="heading 3"/>
    <w:basedOn w:val="Standaard"/>
    <w:next w:val="Standaard"/>
    <w:uiPriority w:val="9"/>
    <w:semiHidden/>
    <w:unhideWhenUsed/>
    <w:qFormat/>
    <w:pPr>
      <w:keepNext/>
      <w:spacing w:before="240" w:after="60"/>
      <w:outlineLvl w:val="2"/>
    </w:pPr>
    <w:rPr>
      <w:b/>
      <w:sz w:val="26"/>
      <w:szCs w:val="26"/>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115" w:type="dxa"/>
        <w:right w:w="115" w:type="dxa"/>
      </w:tblCellMar>
    </w:tblPr>
  </w:style>
  <w:style w:type="table" w:customStyle="1" w:styleId="a0">
    <w:basedOn w:val="Standaardtabel"/>
    <w:tblPr>
      <w:tblStyleRowBandSize w:val="1"/>
      <w:tblStyleColBandSize w:val="1"/>
      <w:tblCellMar>
        <w:left w:w="115" w:type="dxa"/>
        <w:right w:w="115" w:type="dxa"/>
      </w:tblCellMar>
    </w:tbl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F5592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592D"/>
    <w:rPr>
      <w:rFonts w:ascii="Segoe UI" w:hAnsi="Segoe UI" w:cs="Segoe UI"/>
      <w:sz w:val="18"/>
      <w:szCs w:val="18"/>
    </w:rPr>
  </w:style>
  <w:style w:type="paragraph" w:styleId="Normaalweb">
    <w:name w:val="Normal (Web)"/>
    <w:basedOn w:val="Standaard"/>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Standaardalinea-lettertype"/>
    <w:uiPriority w:val="99"/>
    <w:unhideWhenUsed/>
    <w:rsid w:val="008D27EE"/>
    <w:rPr>
      <w:color w:val="0000FF"/>
      <w:u w:val="single"/>
    </w:rPr>
  </w:style>
  <w:style w:type="paragraph" w:styleId="Lijstalinea">
    <w:name w:val="List Paragraph"/>
    <w:basedOn w:val="Standaard"/>
    <w:uiPriority w:val="34"/>
    <w:qFormat/>
    <w:rsid w:val="004D022D"/>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4D022D"/>
    <w:rPr>
      <w:b/>
      <w:bCs/>
    </w:rPr>
  </w:style>
  <w:style w:type="character" w:customStyle="1" w:styleId="OnderwerpvanopmerkingChar">
    <w:name w:val="Onderwerp van opmerking Char"/>
    <w:basedOn w:val="TekstopmerkingChar"/>
    <w:link w:val="Onderwerpvanopmerking"/>
    <w:uiPriority w:val="99"/>
    <w:semiHidden/>
    <w:rsid w:val="004D022D"/>
    <w:rPr>
      <w:b/>
      <w:bCs/>
      <w:sz w:val="20"/>
      <w:szCs w:val="20"/>
    </w:rPr>
  </w:style>
  <w:style w:type="character" w:styleId="GevolgdeHyperlink">
    <w:name w:val="FollowedHyperlink"/>
    <w:basedOn w:val="Standaardalinea-lettertype"/>
    <w:uiPriority w:val="99"/>
    <w:semiHidden/>
    <w:unhideWhenUsed/>
    <w:rsid w:val="000C009C"/>
    <w:rPr>
      <w:color w:val="800080" w:themeColor="followedHyperlink"/>
      <w:u w:val="single"/>
    </w:rPr>
  </w:style>
  <w:style w:type="paragraph" w:styleId="Revisie">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paragraph" w:customStyle="1" w:styleId="5Normal">
    <w:name w:val="5 Normal"/>
    <w:link w:val="5NormalChar"/>
    <w:rsid w:val="000B2865"/>
    <w:pPr>
      <w:suppressAutoHyphens/>
      <w:spacing w:after="120"/>
    </w:pPr>
    <w:rPr>
      <w:rFonts w:eastAsia="Times New Roman" w:cs="Times New Roman"/>
      <w:spacing w:val="-2"/>
      <w:szCs w:val="20"/>
    </w:rPr>
  </w:style>
  <w:style w:type="character" w:customStyle="1" w:styleId="5NormalChar">
    <w:name w:val="5 Normal Char"/>
    <w:link w:val="5Normal"/>
    <w:rsid w:val="000B2865"/>
    <w:rPr>
      <w:rFonts w:eastAsia="Times New Roman" w:cs="Times New Roman"/>
      <w:spacing w:val="-2"/>
      <w:szCs w:val="20"/>
      <w:lang w:eastAsia="en-GB"/>
    </w:rPr>
  </w:style>
  <w:style w:type="table" w:customStyle="1" w:styleId="a1">
    <w:basedOn w:val="Standaardtabel"/>
    <w:tblPr>
      <w:tblStyleRowBandSize w:val="1"/>
      <w:tblStyleColBandSize w:val="1"/>
      <w:tblCellMar>
        <w:left w:w="115" w:type="dxa"/>
        <w:right w:w="115" w:type="dxa"/>
      </w:tblCellMar>
    </w:tblPr>
  </w:style>
  <w:style w:type="table" w:customStyle="1" w:styleId="a2">
    <w:basedOn w:val="Standaardtabel"/>
    <w:tblPr>
      <w:tblStyleRowBandSize w:val="1"/>
      <w:tblStyleColBandSize w:val="1"/>
      <w:tblCellMar>
        <w:left w:w="115" w:type="dxa"/>
        <w:right w:w="115" w:type="dxa"/>
      </w:tblCellMar>
    </w:tblPr>
  </w:style>
  <w:style w:type="table" w:customStyle="1" w:styleId="a3">
    <w:basedOn w:val="Standaardtabel"/>
    <w:tblPr>
      <w:tblStyleRowBandSize w:val="1"/>
      <w:tblStyleColBandSize w:val="1"/>
      <w:tblCellMar>
        <w:left w:w="115" w:type="dxa"/>
        <w:right w:w="115" w:type="dxa"/>
      </w:tblCellMar>
    </w:tblPr>
  </w:style>
  <w:style w:type="table" w:customStyle="1" w:styleId="a4">
    <w:basedOn w:val="Standaardtabel"/>
    <w:tblPr>
      <w:tblStyleRowBandSize w:val="1"/>
      <w:tblStyleColBandSize w:val="1"/>
      <w:tblCellMar>
        <w:left w:w="115" w:type="dxa"/>
        <w:right w:w="115" w:type="dxa"/>
      </w:tblCellMar>
    </w:tblPr>
  </w:style>
  <w:style w:type="character" w:customStyle="1" w:styleId="UnresolvedMention">
    <w:name w:val="Unresolved Mention"/>
    <w:basedOn w:val="Standaardalinea-lettertype"/>
    <w:uiPriority w:val="99"/>
    <w:semiHidden/>
    <w:unhideWhenUsed/>
    <w:rsid w:val="00031093"/>
    <w:rPr>
      <w:color w:val="605E5C"/>
      <w:shd w:val="clear" w:color="auto" w:fill="E1DFDD"/>
    </w:rPr>
  </w:style>
  <w:style w:type="paragraph" w:customStyle="1" w:styleId="Normal1">
    <w:name w:val="Normal1"/>
    <w:rsid w:val="00E226D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76" w:lineRule="auto"/>
    </w:pPr>
    <w:rPr>
      <w:lang w:val="en-US" w:eastAsia="en-US"/>
    </w:rPr>
  </w:style>
  <w:style w:type="table" w:customStyle="1" w:styleId="a5">
    <w:basedOn w:val="Standaardtabel"/>
    <w:tblPr>
      <w:tblStyleRowBandSize w:val="1"/>
      <w:tblStyleColBandSize w:val="1"/>
      <w:tblCellMar>
        <w:left w:w="115" w:type="dxa"/>
        <w:right w:w="115" w:type="dxa"/>
      </w:tblCellMar>
    </w:tblPr>
  </w:style>
  <w:style w:type="table" w:customStyle="1" w:styleId="a6">
    <w:basedOn w:val="Standaardtabel"/>
    <w:tblPr>
      <w:tblStyleRowBandSize w:val="1"/>
      <w:tblStyleColBandSize w:val="1"/>
      <w:tblCellMar>
        <w:left w:w="115" w:type="dxa"/>
        <w:right w:w="115" w:type="dxa"/>
      </w:tblCellMar>
    </w:tblPr>
  </w:style>
  <w:style w:type="table" w:customStyle="1" w:styleId="a7">
    <w:basedOn w:val="Standaardtabel"/>
    <w:tblPr>
      <w:tblStyleRowBandSize w:val="1"/>
      <w:tblStyleColBandSize w:val="1"/>
      <w:tblCellMar>
        <w:left w:w="115" w:type="dxa"/>
        <w:right w:w="115" w:type="dxa"/>
      </w:tblCellMar>
    </w:tblPr>
  </w:style>
  <w:style w:type="table" w:customStyle="1" w:styleId="a8">
    <w:basedOn w:val="Standaardtabe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europeanheritageawards.eu/winner_year/2020/" TargetMode="External"/><Relationship Id="rId18" Type="http://schemas.openxmlformats.org/officeDocument/2006/relationships/hyperlink" Target="http://www.rubenshuis.be" TargetMode="External"/><Relationship Id="rId26" Type="http://schemas.openxmlformats.org/officeDocument/2006/relationships/hyperlink" Target="http://www.europeanheritageawards.eu/winners/tramontana-network-iii-france-italy-poland-portugal-spain/" TargetMode="External"/><Relationship Id="rId39" Type="http://schemas.openxmlformats.org/officeDocument/2006/relationships/hyperlink" Target="http://www.europeanheritageawards.eu/" TargetMode="External"/><Relationship Id="rId3" Type="http://schemas.microsoft.com/office/2007/relationships/stylesWithEffects" Target="stylesWithEffects.xml"/><Relationship Id="rId21" Type="http://schemas.openxmlformats.org/officeDocument/2006/relationships/hyperlink" Target="http://www.europeanheritageawards.eu/winners/hvars-arsenal/" TargetMode="External"/><Relationship Id="rId34" Type="http://schemas.openxmlformats.org/officeDocument/2006/relationships/hyperlink" Target="http://www.europeanheritageawards.eu/winners/cross-border-collaboration-european-classical-music/" TargetMode="External"/><Relationship Id="rId42" Type="http://schemas.openxmlformats.org/officeDocument/2006/relationships/hyperlink" Target="http://7mostendangered.eu/"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h@europanostra.org" TargetMode="External"/><Relationship Id="rId17" Type="http://schemas.openxmlformats.org/officeDocument/2006/relationships/hyperlink" Target="https://ec.europa.eu/commission/commissioners/2019-2024/gabriel_en" TargetMode="External"/><Relationship Id="rId25" Type="http://schemas.openxmlformats.org/officeDocument/2006/relationships/hyperlink" Target="http://www.europeanheritageawards.eu/winners/the-iron-bridge/" TargetMode="External"/><Relationship Id="rId33" Type="http://schemas.openxmlformats.org/officeDocument/2006/relationships/hyperlink" Target="http://www.europeanheritageawards.eu/winners/auschwitz-not-long-ago-not-far-away/" TargetMode="External"/><Relationship Id="rId38" Type="http://schemas.openxmlformats.org/officeDocument/2006/relationships/hyperlink" Target="http://www.europeanheritageawards.eu/winners/sarat-safeguarding-archaeological-assets-turkey/" TargetMode="External"/><Relationship Id="rId46" Type="http://schemas.openxmlformats.org/officeDocument/2006/relationships/hyperlink" Target="https://ec.europa.eu/programmes/creative-europe/node_fr" TargetMode="External"/><Relationship Id="rId2" Type="http://schemas.openxmlformats.org/officeDocument/2006/relationships/styles" Target="styles.xml"/><Relationship Id="rId16" Type="http://schemas.openxmlformats.org/officeDocument/2006/relationships/hyperlink" Target="http://ec.europa.eu/programmes/creative-europe/index_en.htm" TargetMode="External"/><Relationship Id="rId20" Type="http://schemas.openxmlformats.org/officeDocument/2006/relationships/hyperlink" Target="http://www.europeanheritageawards.eu/winners/rubens-garden-screen-garden-pavilion/" TargetMode="External"/><Relationship Id="rId29" Type="http://schemas.openxmlformats.org/officeDocument/2006/relationships/hyperlink" Target="http://www.europeanheritageawards.eu/winners/mr-don-duco/" TargetMode="External"/><Relationship Id="rId41" Type="http://schemas.openxmlformats.org/officeDocument/2006/relationships/hyperlink" Target="https://www.europanostr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heritageawards.eu/jury/" TargetMode="External"/><Relationship Id="rId24" Type="http://schemas.openxmlformats.org/officeDocument/2006/relationships/hyperlink" Target="http://www.europeanheritageawards.eu/winners/lochal/" TargetMode="External"/><Relationship Id="rId32" Type="http://schemas.openxmlformats.org/officeDocument/2006/relationships/hyperlink" Target="http://www.europeanheritageawards.eu/winners/uccu-roma-informal-educational-foundation/" TargetMode="External"/><Relationship Id="rId37" Type="http://schemas.openxmlformats.org/officeDocument/2006/relationships/hyperlink" Target="http://www.europeanheritageawards.eu/winners/societe-de-lecture/" TargetMode="External"/><Relationship Id="rId40" Type="http://schemas.openxmlformats.org/officeDocument/2006/relationships/hyperlink" Target="http://www.europeanheritageawards.eu/" TargetMode="External"/><Relationship Id="rId45" Type="http://schemas.openxmlformats.org/officeDocument/2006/relationships/hyperlink" Target="https://www.europanostra.org/our-work/policy/european-year-cultural-heritage/" TargetMode="External"/><Relationship Id="rId5" Type="http://schemas.openxmlformats.org/officeDocument/2006/relationships/webSettings" Target="webSettings.xml"/><Relationship Id="rId15" Type="http://schemas.openxmlformats.org/officeDocument/2006/relationships/hyperlink" Target="https://www.youtube.com/user/EuropaNostraChannel" TargetMode="External"/><Relationship Id="rId23" Type="http://schemas.openxmlformats.org/officeDocument/2006/relationships/hyperlink" Target="http://www.europeanheritageawards.eu/winners/museum-fine-arts/" TargetMode="External"/><Relationship Id="rId28" Type="http://schemas.openxmlformats.org/officeDocument/2006/relationships/hyperlink" Target="http://www.europeanheritageawards.eu/winners/scanning-for-syria/" TargetMode="External"/><Relationship Id="rId36" Type="http://schemas.openxmlformats.org/officeDocument/2006/relationships/hyperlink" Target="http://www.europeanheritageawards.eu/winners/manor-farm-bois-de-chenes/" TargetMode="External"/><Relationship Id="rId49" Type="http://schemas.openxmlformats.org/officeDocument/2006/relationships/theme" Target="theme/theme1.xml"/><Relationship Id="rId10" Type="http://schemas.openxmlformats.org/officeDocument/2006/relationships/hyperlink" Target="https://vote.europanostra.org/" TargetMode="External"/><Relationship Id="rId19" Type="http://schemas.openxmlformats.org/officeDocument/2006/relationships/hyperlink" Target="http://www.europeanheritageawards.eu/winners/epitaphs-university-church-leipzig/" TargetMode="External"/><Relationship Id="rId31" Type="http://schemas.openxmlformats.org/officeDocument/2006/relationships/hyperlink" Target="http://www.europeanheritageawards.eu/winners/secret-life-palace/" TargetMode="External"/><Relationship Id="rId44" Type="http://schemas.openxmlformats.org/officeDocument/2006/relationships/hyperlink" Target="http://europeanheritagealliance.e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flickr.com/photos/europanostra/albums/72157713873408618" TargetMode="External"/><Relationship Id="rId22" Type="http://schemas.openxmlformats.org/officeDocument/2006/relationships/hyperlink" Target="http://www.europeanheritageawards.eu/winners/subterranean-caves-wineries-el-cotarro/" TargetMode="External"/><Relationship Id="rId27" Type="http://schemas.openxmlformats.org/officeDocument/2006/relationships/hyperlink" Target="http://www.europeanheritageawards.eu/winners/turin-papyrus-online-platform-tpop/" TargetMode="External"/><Relationship Id="rId30" Type="http://schemas.openxmlformats.org/officeDocument/2006/relationships/hyperlink" Target="http://www.europeanheritageawards.eu/winners/arolsen-archives-online/" TargetMode="External"/><Relationship Id="rId35" Type="http://schemas.openxmlformats.org/officeDocument/2006/relationships/hyperlink" Target="http://www.europeanheritageawards.eu/winners/the-ambulance-for-monuments/" TargetMode="External"/><Relationship Id="rId43" Type="http://schemas.openxmlformats.org/officeDocument/2006/relationships/hyperlink" Target="http://www.europeanheritageawards.eu/"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Qbt3sgXgyY7Z9JWG2IdVmBP+KQ==">AMUW2mVHM7wf0VxU65KMW2PCRlGCbWPvmaQeZAt+1cqinVaqjLaUy0JSo2rxJNM/6Itki5p+zvy93+XD+W2BUIMXy8Xadoar9o44gE++XaJGuaGZbULQD4tSw4Z+oNXyDCv5WBt1SV+GBeUJgY+8utH5nVbRfqvMNiHR34BbNSTPDwGcROQOYNIrebzdgKnsgF2InmULvWnL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2711</Words>
  <Characters>14913</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 Block</dc:creator>
  <cp:lastModifiedBy>Ann De Block</cp:lastModifiedBy>
  <cp:revision>2</cp:revision>
  <dcterms:created xsi:type="dcterms:W3CDTF">2020-05-15T10:02:00Z</dcterms:created>
  <dcterms:modified xsi:type="dcterms:W3CDTF">2020-05-15T10:02:00Z</dcterms:modified>
</cp:coreProperties>
</file>